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0583E" w14:textId="77777777" w:rsidR="004B4E20" w:rsidRPr="004B4E20" w:rsidRDefault="004B4E20" w:rsidP="004B4E20">
      <w:pPr>
        <w:spacing w:before="100" w:beforeAutospacing="1" w:after="100" w:afterAutospacing="1" w:line="0" w:lineRule="atLeast"/>
        <w:jc w:val="right"/>
        <w:rPr>
          <w:rFonts w:ascii="Times Nordic" w:eastAsia="Times New Roman" w:hAnsi="Times Nordic" w:cs="Times New Roman"/>
          <w:b/>
          <w:bCs/>
          <w:color w:val="000000"/>
          <w:lang w:eastAsia="it-IT"/>
        </w:rPr>
      </w:pPr>
      <w:r w:rsidRPr="004B4E20">
        <w:rPr>
          <w:rFonts w:ascii="Times Nordic" w:eastAsia="Times New Roman" w:hAnsi="Times Nordic" w:cs="Times New Roman"/>
          <w:b/>
          <w:bCs/>
          <w:color w:val="000000"/>
          <w:lang w:eastAsia="it-IT"/>
        </w:rPr>
        <w:t>N. 06213/2021REG.PROV.COLL.</w:t>
      </w:r>
    </w:p>
    <w:p w14:paraId="5CE62DD2" w14:textId="77777777" w:rsidR="004B4E20" w:rsidRPr="004B4E20" w:rsidRDefault="004B4E20" w:rsidP="004B4E20">
      <w:pPr>
        <w:spacing w:before="100" w:beforeAutospacing="1" w:after="100" w:afterAutospacing="1" w:line="0" w:lineRule="atLeast"/>
        <w:jc w:val="right"/>
        <w:rPr>
          <w:rFonts w:ascii="Times Nordic" w:eastAsia="Times New Roman" w:hAnsi="Times Nordic" w:cs="Times New Roman"/>
          <w:b/>
          <w:bCs/>
          <w:color w:val="000000"/>
          <w:lang w:eastAsia="it-IT"/>
        </w:rPr>
      </w:pPr>
      <w:r w:rsidRPr="004B4E20">
        <w:rPr>
          <w:rFonts w:ascii="Times Nordic" w:eastAsia="Times New Roman" w:hAnsi="Times Nordic" w:cs="Times New Roman"/>
          <w:b/>
          <w:bCs/>
          <w:color w:val="000000"/>
          <w:lang w:eastAsia="it-IT"/>
        </w:rPr>
        <w:t>N. 02498/2021 REG.RIC.</w:t>
      </w:r>
    </w:p>
    <w:p w14:paraId="0578AF54" w14:textId="77777777" w:rsidR="004B4E20" w:rsidRPr="004B4E20" w:rsidRDefault="004B4E20" w:rsidP="004B4E20">
      <w:pPr>
        <w:spacing w:before="100" w:beforeAutospacing="1" w:after="100" w:afterAutospacing="1" w:line="0" w:lineRule="atLeast"/>
        <w:jc w:val="right"/>
        <w:rPr>
          <w:rFonts w:ascii="Times Nordic" w:eastAsia="Times New Roman" w:hAnsi="Times Nordic" w:cs="Times New Roman"/>
          <w:b/>
          <w:bCs/>
          <w:color w:val="000000"/>
          <w:lang w:eastAsia="it-IT"/>
        </w:rPr>
      </w:pPr>
      <w:r w:rsidRPr="004B4E20">
        <w:rPr>
          <w:rFonts w:ascii="Times Nordic" w:eastAsia="Times New Roman" w:hAnsi="Times Nordic" w:cs="Times New Roman"/>
          <w:b/>
          <w:bCs/>
          <w:color w:val="000000"/>
          <w:lang w:eastAsia="it-IT"/>
        </w:rPr>
        <w:t>N. 02503/2021 REG.RIC.</w:t>
      </w:r>
    </w:p>
    <w:p w14:paraId="01EADB6C" w14:textId="77777777" w:rsidR="004B4E20" w:rsidRPr="004B4E20" w:rsidRDefault="004B4E20" w:rsidP="004B4E20">
      <w:pPr>
        <w:spacing w:before="100" w:beforeAutospacing="1" w:after="100" w:afterAutospacing="1" w:line="0" w:lineRule="atLeast"/>
        <w:jc w:val="right"/>
        <w:rPr>
          <w:rFonts w:ascii="Times Nordic" w:eastAsia="Times New Roman" w:hAnsi="Times Nordic" w:cs="Times New Roman"/>
          <w:b/>
          <w:bCs/>
          <w:color w:val="000000"/>
          <w:lang w:eastAsia="it-IT"/>
        </w:rPr>
      </w:pPr>
      <w:r w:rsidRPr="004B4E20">
        <w:rPr>
          <w:rFonts w:ascii="Times Nordic" w:eastAsia="Times New Roman" w:hAnsi="Times Nordic" w:cs="Times New Roman"/>
          <w:b/>
          <w:bCs/>
          <w:color w:val="000000"/>
          <w:lang w:eastAsia="it-IT"/>
        </w:rPr>
        <w:t>N. 02554/2021 REG.RIC.</w:t>
      </w:r>
    </w:p>
    <w:p w14:paraId="29F070AA" w14:textId="768F35B5" w:rsidR="004B4E20" w:rsidRPr="004B4E20" w:rsidRDefault="004B4E20" w:rsidP="004B4E20">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sidRPr="004B4E20">
        <w:rPr>
          <w:rFonts w:ascii="Garamond" w:eastAsia="Times New Roman" w:hAnsi="Garamond" w:cs="Times New Roman"/>
          <w:b/>
          <w:bCs/>
          <w:noProof/>
          <w:color w:val="000000"/>
          <w:spacing w:val="150"/>
          <w:sz w:val="27"/>
          <w:szCs w:val="27"/>
          <w:lang w:eastAsia="it-IT"/>
        </w:rPr>
        <w:drawing>
          <wp:inline distT="0" distB="0" distL="0" distR="0" wp14:anchorId="7F923DB2" wp14:editId="234704C8">
            <wp:extent cx="723265" cy="827405"/>
            <wp:effectExtent l="0" t="0" r="635" b="0"/>
            <wp:docPr id="248245974" name="Immagine 1" descr="Immagine che contiene schizzo, disegno, emblema,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245974" name="Immagine 1" descr="Immagine che contiene schizzo, disegno, emblema, art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265" cy="827405"/>
                    </a:xfrm>
                    <a:prstGeom prst="rect">
                      <a:avLst/>
                    </a:prstGeom>
                    <a:noFill/>
                    <a:ln>
                      <a:noFill/>
                    </a:ln>
                  </pic:spPr>
                </pic:pic>
              </a:graphicData>
            </a:graphic>
          </wp:inline>
        </w:drawing>
      </w:r>
    </w:p>
    <w:p w14:paraId="081EE69B" w14:textId="77777777" w:rsidR="004B4E20" w:rsidRPr="004B4E20" w:rsidRDefault="004B4E20" w:rsidP="004B4E20">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4B4E20">
        <w:rPr>
          <w:rFonts w:ascii="Garamond" w:eastAsia="Times New Roman" w:hAnsi="Garamond" w:cs="Times New Roman"/>
          <w:b/>
          <w:bCs/>
          <w:color w:val="000000"/>
          <w:spacing w:val="150"/>
          <w:kern w:val="36"/>
          <w:sz w:val="24"/>
          <w:szCs w:val="24"/>
          <w:lang w:eastAsia="it-IT"/>
        </w:rPr>
        <w:t>REPUBBLICA ITALIANA</w:t>
      </w:r>
    </w:p>
    <w:p w14:paraId="24817F4F" w14:textId="77777777" w:rsidR="004B4E20" w:rsidRPr="004B4E20" w:rsidRDefault="004B4E20" w:rsidP="004B4E20">
      <w:pPr>
        <w:spacing w:before="100" w:beforeAutospacing="1" w:after="100" w:afterAutospacing="1" w:line="240" w:lineRule="auto"/>
        <w:jc w:val="center"/>
        <w:rPr>
          <w:rFonts w:ascii="Garamond" w:eastAsia="Times New Roman" w:hAnsi="Garamond" w:cs="Times New Roman"/>
          <w:b/>
          <w:bCs/>
          <w:color w:val="000000"/>
          <w:lang w:eastAsia="it-IT"/>
        </w:rPr>
      </w:pPr>
      <w:r w:rsidRPr="004B4E20">
        <w:rPr>
          <w:rFonts w:ascii="Garamond" w:eastAsia="Times New Roman" w:hAnsi="Garamond" w:cs="Times New Roman"/>
          <w:b/>
          <w:bCs/>
          <w:color w:val="000000"/>
          <w:lang w:eastAsia="it-IT"/>
        </w:rPr>
        <w:t>IN NOME DEL POPOLO ITALIANO</w:t>
      </w:r>
    </w:p>
    <w:p w14:paraId="16FDB99E" w14:textId="77777777" w:rsidR="004B4E20" w:rsidRPr="004B4E20" w:rsidRDefault="004B4E20" w:rsidP="004B4E20">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B4E20">
        <w:rPr>
          <w:rFonts w:ascii="Garamond" w:eastAsia="Times New Roman" w:hAnsi="Garamond" w:cs="Times New Roman"/>
          <w:b/>
          <w:bCs/>
          <w:color w:val="000000"/>
          <w:sz w:val="26"/>
          <w:szCs w:val="26"/>
          <w:lang w:eastAsia="it-IT"/>
        </w:rPr>
        <w:t>Il Consiglio di Stato</w:t>
      </w:r>
    </w:p>
    <w:p w14:paraId="1EC6938E" w14:textId="77777777" w:rsidR="004B4E20" w:rsidRPr="004B4E20" w:rsidRDefault="004B4E20" w:rsidP="004B4E20">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B4E20">
        <w:rPr>
          <w:rFonts w:ascii="Garamond" w:eastAsia="Times New Roman" w:hAnsi="Garamond" w:cs="Times New Roman"/>
          <w:b/>
          <w:bCs/>
          <w:color w:val="000000"/>
          <w:sz w:val="26"/>
          <w:szCs w:val="26"/>
          <w:lang w:eastAsia="it-IT"/>
        </w:rPr>
        <w:t>in sede giurisdizionale (Sezione Quinta)</w:t>
      </w:r>
    </w:p>
    <w:p w14:paraId="4317680E" w14:textId="77777777" w:rsidR="004B4E20" w:rsidRPr="004B4E20" w:rsidRDefault="004B4E20" w:rsidP="004B4E20">
      <w:pPr>
        <w:spacing w:after="0" w:line="520" w:lineRule="atLeast"/>
        <w:ind w:firstLine="567"/>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ha pronunciato la presente</w:t>
      </w:r>
    </w:p>
    <w:p w14:paraId="73FFC723" w14:textId="77777777" w:rsidR="004B4E20" w:rsidRPr="004B4E20" w:rsidRDefault="004B4E20" w:rsidP="004B4E20">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B4E20">
        <w:rPr>
          <w:rFonts w:ascii="Garamond" w:eastAsia="Times New Roman" w:hAnsi="Garamond" w:cs="Times New Roman"/>
          <w:b/>
          <w:bCs/>
          <w:color w:val="000000"/>
          <w:sz w:val="26"/>
          <w:szCs w:val="26"/>
          <w:lang w:eastAsia="it-IT"/>
        </w:rPr>
        <w:t>SENTENZA</w:t>
      </w:r>
    </w:p>
    <w:p w14:paraId="368772B1"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sul ricorso numero di registro generale 2498 del 2021, proposto da</w:t>
      </w:r>
      <w:r w:rsidRPr="004B4E20">
        <w:rPr>
          <w:rFonts w:ascii="Garamond" w:eastAsia="Times New Roman" w:hAnsi="Garamond" w:cs="Times New Roman"/>
          <w:color w:val="000000"/>
          <w:sz w:val="30"/>
          <w:szCs w:val="30"/>
          <w:lang w:eastAsia="it-IT"/>
        </w:rPr>
        <w:br/>
        <w:t>Ambiente Energia Brianza S.p.A., in persona del legale rappresentante </w:t>
      </w:r>
      <w:r w:rsidRPr="004B4E20">
        <w:rPr>
          <w:rFonts w:ascii="Garamond" w:eastAsia="Times New Roman" w:hAnsi="Garamond" w:cs="Times New Roman"/>
          <w:i/>
          <w:iCs/>
          <w:color w:val="000000"/>
          <w:sz w:val="30"/>
          <w:szCs w:val="30"/>
          <w:lang w:eastAsia="it-IT"/>
        </w:rPr>
        <w:t>pro tempore</w:t>
      </w:r>
      <w:r w:rsidRPr="004B4E20">
        <w:rPr>
          <w:rFonts w:ascii="Garamond" w:eastAsia="Times New Roman" w:hAnsi="Garamond" w:cs="Times New Roman"/>
          <w:color w:val="000000"/>
          <w:sz w:val="30"/>
          <w:szCs w:val="30"/>
          <w:lang w:eastAsia="it-IT"/>
        </w:rPr>
        <w:t xml:space="preserve">, rappresentata e difesa dagli avvocati Angelo </w:t>
      </w:r>
      <w:proofErr w:type="spellStart"/>
      <w:r w:rsidRPr="004B4E20">
        <w:rPr>
          <w:rFonts w:ascii="Garamond" w:eastAsia="Times New Roman" w:hAnsi="Garamond" w:cs="Times New Roman"/>
          <w:color w:val="000000"/>
          <w:sz w:val="30"/>
          <w:szCs w:val="30"/>
          <w:lang w:eastAsia="it-IT"/>
        </w:rPr>
        <w:t>Clarizia</w:t>
      </w:r>
      <w:proofErr w:type="spellEnd"/>
      <w:r w:rsidRPr="004B4E20">
        <w:rPr>
          <w:rFonts w:ascii="Garamond" w:eastAsia="Times New Roman" w:hAnsi="Garamond" w:cs="Times New Roman"/>
          <w:color w:val="000000"/>
          <w:sz w:val="30"/>
          <w:szCs w:val="30"/>
          <w:lang w:eastAsia="it-IT"/>
        </w:rPr>
        <w:t xml:space="preserve">, Paolo </w:t>
      </w:r>
      <w:proofErr w:type="spellStart"/>
      <w:r w:rsidRPr="004B4E20">
        <w:rPr>
          <w:rFonts w:ascii="Garamond" w:eastAsia="Times New Roman" w:hAnsi="Garamond" w:cs="Times New Roman"/>
          <w:color w:val="000000"/>
          <w:sz w:val="30"/>
          <w:szCs w:val="30"/>
          <w:lang w:eastAsia="it-IT"/>
        </w:rPr>
        <w:t>Clarizia</w:t>
      </w:r>
      <w:proofErr w:type="spellEnd"/>
      <w:r w:rsidRPr="004B4E20">
        <w:rPr>
          <w:rFonts w:ascii="Garamond" w:eastAsia="Times New Roman" w:hAnsi="Garamond" w:cs="Times New Roman"/>
          <w:color w:val="000000"/>
          <w:sz w:val="30"/>
          <w:szCs w:val="30"/>
          <w:lang w:eastAsia="it-IT"/>
        </w:rPr>
        <w:t>, Flavio Iacovone, Francesco Sciaudone e Federico Freni, con domicilio digitale come da registri di Giustizia e domicilio eletto presso lo studio dell’avvocato Francesco Sciaudone in Roma, alla via Pinciana, n. 25;</w:t>
      </w:r>
    </w:p>
    <w:p w14:paraId="0547B636"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t>contro</w:t>
      </w:r>
    </w:p>
    <w:p w14:paraId="2B25FB2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Cst Centro Servizi Termici di Calzolari Maurizio, Depositi Carboni Bovisa </w:t>
      </w:r>
      <w:proofErr w:type="spellStart"/>
      <w:r w:rsidRPr="004B4E20">
        <w:rPr>
          <w:rFonts w:ascii="Garamond" w:eastAsia="Times New Roman" w:hAnsi="Garamond" w:cs="Times New Roman"/>
          <w:color w:val="000000"/>
          <w:sz w:val="30"/>
          <w:szCs w:val="30"/>
          <w:lang w:eastAsia="it-IT"/>
        </w:rPr>
        <w:t>De.Ca.Bo</w:t>
      </w:r>
      <w:proofErr w:type="spellEnd"/>
      <w:r w:rsidRPr="004B4E20">
        <w:rPr>
          <w:rFonts w:ascii="Garamond" w:eastAsia="Times New Roman" w:hAnsi="Garamond" w:cs="Times New Roman"/>
          <w:color w:val="000000"/>
          <w:sz w:val="30"/>
          <w:szCs w:val="30"/>
          <w:lang w:eastAsia="it-IT"/>
        </w:rPr>
        <w:t>. S.r.l., Marco Maria Fumagalli, non costituiti in giudizio;</w:t>
      </w:r>
    </w:p>
    <w:p w14:paraId="6B20D039"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t>nei confronti</w:t>
      </w:r>
    </w:p>
    <w:p w14:paraId="64E0F85E"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Comune di Seregno, A2a S.p.A., A2a Energia S.p.A., Michele Croce, Gian Paolo </w:t>
      </w:r>
      <w:proofErr w:type="spellStart"/>
      <w:r w:rsidRPr="004B4E20">
        <w:rPr>
          <w:rFonts w:ascii="Garamond" w:eastAsia="Times New Roman" w:hAnsi="Garamond" w:cs="Times New Roman"/>
          <w:color w:val="000000"/>
          <w:sz w:val="30"/>
          <w:szCs w:val="30"/>
          <w:lang w:eastAsia="it-IT"/>
        </w:rPr>
        <w:t>Sardos</w:t>
      </w:r>
      <w:proofErr w:type="spellEnd"/>
      <w:r w:rsidRPr="004B4E20">
        <w:rPr>
          <w:rFonts w:ascii="Garamond" w:eastAsia="Times New Roman" w:hAnsi="Garamond" w:cs="Times New Roman"/>
          <w:color w:val="000000"/>
          <w:sz w:val="30"/>
          <w:szCs w:val="30"/>
          <w:lang w:eastAsia="it-IT"/>
        </w:rPr>
        <w:t xml:space="preserve"> Albertini, Comune di Bovisio Masciago, Comune di Besana in Brianza, Comune di Limbiate, Comune di Lissone, Comune di Seveso, Comune di Triuggio, </w:t>
      </w:r>
      <w:r w:rsidRPr="004B4E20">
        <w:rPr>
          <w:rFonts w:ascii="Garamond" w:eastAsia="Times New Roman" w:hAnsi="Garamond" w:cs="Times New Roman"/>
          <w:color w:val="000000"/>
          <w:sz w:val="30"/>
          <w:szCs w:val="30"/>
          <w:lang w:eastAsia="it-IT"/>
        </w:rPr>
        <w:lastRenderedPageBreak/>
        <w:t>Comune di Varedo, Comune di Verano Brianza, Gestione Servizi Desio S.r.l., non costituiti in giudizio;</w:t>
      </w:r>
    </w:p>
    <w:p w14:paraId="25A50A16"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t>e con l'intervento di</w:t>
      </w:r>
    </w:p>
    <w:p w14:paraId="4780C2F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adiuvandum</w:t>
      </w:r>
      <w:proofErr w:type="spellEnd"/>
      <w:r w:rsidRPr="004B4E20">
        <w:rPr>
          <w:rFonts w:ascii="Garamond" w:eastAsia="Times New Roman" w:hAnsi="Garamond" w:cs="Times New Roman"/>
          <w:color w:val="000000"/>
          <w:sz w:val="30"/>
          <w:szCs w:val="30"/>
          <w:lang w:eastAsia="it-IT"/>
        </w:rPr>
        <w:t>:</w:t>
      </w:r>
      <w:r w:rsidRPr="004B4E20">
        <w:rPr>
          <w:rFonts w:ascii="Garamond" w:eastAsia="Times New Roman" w:hAnsi="Garamond" w:cs="Times New Roman"/>
          <w:color w:val="000000"/>
          <w:sz w:val="30"/>
          <w:szCs w:val="30"/>
          <w:lang w:eastAsia="it-IT"/>
        </w:rPr>
        <w:br/>
      </w:r>
      <w:proofErr w:type="spellStart"/>
      <w:r w:rsidRPr="004B4E20">
        <w:rPr>
          <w:rFonts w:ascii="Garamond" w:eastAsia="Times New Roman" w:hAnsi="Garamond" w:cs="Times New Roman"/>
          <w:color w:val="000000"/>
          <w:sz w:val="30"/>
          <w:szCs w:val="30"/>
          <w:lang w:eastAsia="it-IT"/>
        </w:rPr>
        <w:t>Gelsia</w:t>
      </w:r>
      <w:proofErr w:type="spellEnd"/>
      <w:r w:rsidRPr="004B4E20">
        <w:rPr>
          <w:rFonts w:ascii="Garamond" w:eastAsia="Times New Roman" w:hAnsi="Garamond" w:cs="Times New Roman"/>
          <w:color w:val="000000"/>
          <w:sz w:val="30"/>
          <w:szCs w:val="30"/>
          <w:lang w:eastAsia="it-IT"/>
        </w:rPr>
        <w:t xml:space="preserve"> Ambente S.r.l., rappresentata e difesa dagli avvocati Venerando Monello e Paolo Carbone, con domicilio digitale come da registri di Giustizia;</w:t>
      </w:r>
      <w:r w:rsidRPr="004B4E20">
        <w:rPr>
          <w:rFonts w:ascii="Garamond" w:eastAsia="Times New Roman" w:hAnsi="Garamond" w:cs="Times New Roman"/>
          <w:color w:val="000000"/>
          <w:sz w:val="30"/>
          <w:szCs w:val="30"/>
          <w:lang w:eastAsia="it-IT"/>
        </w:rPr>
        <w:br/>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opponendum</w:t>
      </w:r>
      <w:proofErr w:type="spellEnd"/>
      <w:r w:rsidRPr="004B4E20">
        <w:rPr>
          <w:rFonts w:ascii="Garamond" w:eastAsia="Times New Roman" w:hAnsi="Garamond" w:cs="Times New Roman"/>
          <w:color w:val="000000"/>
          <w:sz w:val="30"/>
          <w:szCs w:val="30"/>
          <w:lang w:eastAsia="it-IT"/>
        </w:rPr>
        <w:t>:</w:t>
      </w:r>
      <w:r w:rsidRPr="004B4E20">
        <w:rPr>
          <w:rFonts w:ascii="Garamond" w:eastAsia="Times New Roman" w:hAnsi="Garamond" w:cs="Times New Roman"/>
          <w:color w:val="000000"/>
          <w:sz w:val="30"/>
          <w:szCs w:val="30"/>
          <w:lang w:eastAsia="it-IT"/>
        </w:rPr>
        <w:br/>
        <w:t xml:space="preserve">Brianza Energia Ambiente S.p.A., rappresentata e difesa dagli avvocati Pietro Ferraris, Enzo </w:t>
      </w:r>
      <w:proofErr w:type="spellStart"/>
      <w:r w:rsidRPr="004B4E20">
        <w:rPr>
          <w:rFonts w:ascii="Garamond" w:eastAsia="Times New Roman" w:hAnsi="Garamond" w:cs="Times New Roman"/>
          <w:color w:val="000000"/>
          <w:sz w:val="30"/>
          <w:szCs w:val="30"/>
          <w:lang w:eastAsia="it-IT"/>
        </w:rPr>
        <w:t>Robaldo</w:t>
      </w:r>
      <w:proofErr w:type="spellEnd"/>
      <w:r w:rsidRPr="004B4E20">
        <w:rPr>
          <w:rFonts w:ascii="Garamond" w:eastAsia="Times New Roman" w:hAnsi="Garamond" w:cs="Times New Roman"/>
          <w:color w:val="000000"/>
          <w:sz w:val="30"/>
          <w:szCs w:val="30"/>
          <w:lang w:eastAsia="it-IT"/>
        </w:rPr>
        <w:t xml:space="preserve"> e Francesco Caliandro, con domicilio digitale come da registri di Giustizia;</w:t>
      </w:r>
    </w:p>
    <w:p w14:paraId="31C43075" w14:textId="77777777" w:rsidR="004B4E20" w:rsidRPr="004B4E20" w:rsidRDefault="004B4E20" w:rsidP="004B4E20">
      <w:pPr>
        <w:spacing w:after="0" w:line="240" w:lineRule="auto"/>
        <w:rPr>
          <w:rFonts w:ascii="Times New Roman" w:eastAsia="Times New Roman" w:hAnsi="Times New Roman" w:cs="Times New Roman"/>
          <w:sz w:val="24"/>
          <w:szCs w:val="24"/>
          <w:lang w:eastAsia="it-IT"/>
        </w:rPr>
      </w:pPr>
      <w:r w:rsidRPr="004B4E20">
        <w:rPr>
          <w:rFonts w:ascii="Times New Roman" w:eastAsia="Times New Roman" w:hAnsi="Times New Roman" w:cs="Times New Roman"/>
          <w:color w:val="000000"/>
          <w:sz w:val="27"/>
          <w:szCs w:val="27"/>
          <w:lang w:eastAsia="it-IT"/>
        </w:rPr>
        <w:br/>
      </w:r>
      <w:r w:rsidRPr="004B4E20">
        <w:rPr>
          <w:rFonts w:ascii="Times New Roman" w:eastAsia="Times New Roman" w:hAnsi="Times New Roman" w:cs="Times New Roman"/>
          <w:color w:val="000000"/>
          <w:sz w:val="27"/>
          <w:szCs w:val="27"/>
          <w:lang w:eastAsia="it-IT"/>
        </w:rPr>
        <w:br/>
      </w:r>
    </w:p>
    <w:p w14:paraId="4E83D138"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sul ricorso numero di registro generale 2503 del 2021, proposto da</w:t>
      </w:r>
      <w:r w:rsidRPr="004B4E20">
        <w:rPr>
          <w:rFonts w:ascii="Garamond" w:eastAsia="Times New Roman" w:hAnsi="Garamond" w:cs="Times New Roman"/>
          <w:color w:val="000000"/>
          <w:sz w:val="30"/>
          <w:szCs w:val="30"/>
          <w:lang w:eastAsia="it-IT"/>
        </w:rPr>
        <w:br/>
        <w:t xml:space="preserve">Comune di Seregno, in persona del Sindaco pro tempore, rappresentato e difeso dagli avvocati Angelo </w:t>
      </w:r>
      <w:proofErr w:type="spellStart"/>
      <w:r w:rsidRPr="004B4E20">
        <w:rPr>
          <w:rFonts w:ascii="Garamond" w:eastAsia="Times New Roman" w:hAnsi="Garamond" w:cs="Times New Roman"/>
          <w:color w:val="000000"/>
          <w:sz w:val="30"/>
          <w:szCs w:val="30"/>
          <w:lang w:eastAsia="it-IT"/>
        </w:rPr>
        <w:t>Clarizia</w:t>
      </w:r>
      <w:proofErr w:type="spellEnd"/>
      <w:r w:rsidRPr="004B4E20">
        <w:rPr>
          <w:rFonts w:ascii="Garamond" w:eastAsia="Times New Roman" w:hAnsi="Garamond" w:cs="Times New Roman"/>
          <w:color w:val="000000"/>
          <w:sz w:val="30"/>
          <w:szCs w:val="30"/>
          <w:lang w:eastAsia="it-IT"/>
        </w:rPr>
        <w:t xml:space="preserve">, Paolo </w:t>
      </w:r>
      <w:proofErr w:type="spellStart"/>
      <w:r w:rsidRPr="004B4E20">
        <w:rPr>
          <w:rFonts w:ascii="Garamond" w:eastAsia="Times New Roman" w:hAnsi="Garamond" w:cs="Times New Roman"/>
          <w:color w:val="000000"/>
          <w:sz w:val="30"/>
          <w:szCs w:val="30"/>
          <w:lang w:eastAsia="it-IT"/>
        </w:rPr>
        <w:t>Clarizia</w:t>
      </w:r>
      <w:proofErr w:type="spellEnd"/>
      <w:r w:rsidRPr="004B4E20">
        <w:rPr>
          <w:rFonts w:ascii="Garamond" w:eastAsia="Times New Roman" w:hAnsi="Garamond" w:cs="Times New Roman"/>
          <w:color w:val="000000"/>
          <w:sz w:val="30"/>
          <w:szCs w:val="30"/>
          <w:lang w:eastAsia="it-IT"/>
        </w:rPr>
        <w:t>, Flavio Iacovone, Francesco Sciaudone e Federico Freni, con domicilio digitale come da registri di Giustizia e domicilio eletto presso lo studio dell’avvocato Francesco Sciaudone in Roma, alla via Pinciana, n. 25;</w:t>
      </w:r>
    </w:p>
    <w:p w14:paraId="31FE2D95"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t>contro</w:t>
      </w:r>
    </w:p>
    <w:p w14:paraId="7F27779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Cst Centro Servizi Termici di Calzolari Maurizio, Depositi Carboni Bovisa </w:t>
      </w:r>
      <w:proofErr w:type="spellStart"/>
      <w:r w:rsidRPr="004B4E20">
        <w:rPr>
          <w:rFonts w:ascii="Garamond" w:eastAsia="Times New Roman" w:hAnsi="Garamond" w:cs="Times New Roman"/>
          <w:color w:val="000000"/>
          <w:sz w:val="30"/>
          <w:szCs w:val="30"/>
          <w:lang w:eastAsia="it-IT"/>
        </w:rPr>
        <w:t>De.Ca.Bo</w:t>
      </w:r>
      <w:proofErr w:type="spellEnd"/>
      <w:r w:rsidRPr="004B4E20">
        <w:rPr>
          <w:rFonts w:ascii="Garamond" w:eastAsia="Times New Roman" w:hAnsi="Garamond" w:cs="Times New Roman"/>
          <w:color w:val="000000"/>
          <w:sz w:val="30"/>
          <w:szCs w:val="30"/>
          <w:lang w:eastAsia="it-IT"/>
        </w:rPr>
        <w:t>. S.r.l., Marco Maria Fumagalli, non costituiti in giudizio;</w:t>
      </w:r>
    </w:p>
    <w:p w14:paraId="28246447"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t>nei confronti</w:t>
      </w:r>
    </w:p>
    <w:p w14:paraId="1727D21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Ambiente Energia Brianza S.p.A., A2a S.p.A., A2a Energia S.p.A., Michele Croce, Gian Paolo </w:t>
      </w:r>
      <w:proofErr w:type="spellStart"/>
      <w:r w:rsidRPr="004B4E20">
        <w:rPr>
          <w:rFonts w:ascii="Garamond" w:eastAsia="Times New Roman" w:hAnsi="Garamond" w:cs="Times New Roman"/>
          <w:color w:val="000000"/>
          <w:sz w:val="30"/>
          <w:szCs w:val="30"/>
          <w:lang w:eastAsia="it-IT"/>
        </w:rPr>
        <w:t>Sardos</w:t>
      </w:r>
      <w:proofErr w:type="spellEnd"/>
      <w:r w:rsidRPr="004B4E20">
        <w:rPr>
          <w:rFonts w:ascii="Garamond" w:eastAsia="Times New Roman" w:hAnsi="Garamond" w:cs="Times New Roman"/>
          <w:color w:val="000000"/>
          <w:sz w:val="30"/>
          <w:szCs w:val="30"/>
          <w:lang w:eastAsia="it-IT"/>
        </w:rPr>
        <w:t xml:space="preserve"> Albertini, Comune di Besana in Brianza, non costituiti in giudizio;</w:t>
      </w:r>
      <w:r w:rsidRPr="004B4E20">
        <w:rPr>
          <w:rFonts w:ascii="Garamond" w:eastAsia="Times New Roman" w:hAnsi="Garamond" w:cs="Times New Roman"/>
          <w:color w:val="000000"/>
          <w:sz w:val="30"/>
          <w:szCs w:val="30"/>
          <w:lang w:eastAsia="it-IT"/>
        </w:rPr>
        <w:br/>
        <w:t xml:space="preserve">Comune di Bovisio Masciago, Comune di Limbiate, Comune di Lissone, Comune di Seveso, Comune di Triuggio, Comune di Varedo, Comune di Verano Brianza, </w:t>
      </w:r>
      <w:r w:rsidRPr="004B4E20">
        <w:rPr>
          <w:rFonts w:ascii="Garamond" w:eastAsia="Times New Roman" w:hAnsi="Garamond" w:cs="Times New Roman"/>
          <w:color w:val="000000"/>
          <w:sz w:val="30"/>
          <w:szCs w:val="30"/>
          <w:lang w:eastAsia="it-IT"/>
        </w:rPr>
        <w:lastRenderedPageBreak/>
        <w:t xml:space="preserve">Gestione Servizi Desio S.r.l., Comune di Barlassina, Comune di Cogliate, in persona dei rispettivi legali rappresentanti pro tempore, tutti rappresentati e difesi dagli avvocati Angelo </w:t>
      </w:r>
      <w:proofErr w:type="spellStart"/>
      <w:r w:rsidRPr="004B4E20">
        <w:rPr>
          <w:rFonts w:ascii="Garamond" w:eastAsia="Times New Roman" w:hAnsi="Garamond" w:cs="Times New Roman"/>
          <w:color w:val="000000"/>
          <w:sz w:val="30"/>
          <w:szCs w:val="30"/>
          <w:lang w:eastAsia="it-IT"/>
        </w:rPr>
        <w:t>Clarizia</w:t>
      </w:r>
      <w:proofErr w:type="spellEnd"/>
      <w:r w:rsidRPr="004B4E20">
        <w:rPr>
          <w:rFonts w:ascii="Garamond" w:eastAsia="Times New Roman" w:hAnsi="Garamond" w:cs="Times New Roman"/>
          <w:color w:val="000000"/>
          <w:sz w:val="30"/>
          <w:szCs w:val="30"/>
          <w:lang w:eastAsia="it-IT"/>
        </w:rPr>
        <w:t xml:space="preserve">, Paolo </w:t>
      </w:r>
      <w:proofErr w:type="spellStart"/>
      <w:r w:rsidRPr="004B4E20">
        <w:rPr>
          <w:rFonts w:ascii="Garamond" w:eastAsia="Times New Roman" w:hAnsi="Garamond" w:cs="Times New Roman"/>
          <w:color w:val="000000"/>
          <w:sz w:val="30"/>
          <w:szCs w:val="30"/>
          <w:lang w:eastAsia="it-IT"/>
        </w:rPr>
        <w:t>Clarizia</w:t>
      </w:r>
      <w:proofErr w:type="spellEnd"/>
      <w:r w:rsidRPr="004B4E20">
        <w:rPr>
          <w:rFonts w:ascii="Garamond" w:eastAsia="Times New Roman" w:hAnsi="Garamond" w:cs="Times New Roman"/>
          <w:color w:val="000000"/>
          <w:sz w:val="30"/>
          <w:szCs w:val="30"/>
          <w:lang w:eastAsia="it-IT"/>
        </w:rPr>
        <w:t>, Flavio Iacovone, Francesco Sciaudone e Federico Freni, con domicilio digitale come da registri di Giustizia;</w:t>
      </w:r>
    </w:p>
    <w:p w14:paraId="6DB344BF"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t>e con l'intervento di</w:t>
      </w:r>
    </w:p>
    <w:p w14:paraId="11613A6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ad </w:t>
      </w:r>
      <w:proofErr w:type="spellStart"/>
      <w:r w:rsidRPr="004B4E20">
        <w:rPr>
          <w:rFonts w:ascii="Garamond" w:eastAsia="Times New Roman" w:hAnsi="Garamond" w:cs="Times New Roman"/>
          <w:color w:val="000000"/>
          <w:sz w:val="30"/>
          <w:szCs w:val="30"/>
          <w:lang w:eastAsia="it-IT"/>
        </w:rPr>
        <w:t>opponendum</w:t>
      </w:r>
      <w:proofErr w:type="spellEnd"/>
      <w:r w:rsidRPr="004B4E20">
        <w:rPr>
          <w:rFonts w:ascii="Garamond" w:eastAsia="Times New Roman" w:hAnsi="Garamond" w:cs="Times New Roman"/>
          <w:color w:val="000000"/>
          <w:sz w:val="30"/>
          <w:szCs w:val="30"/>
          <w:lang w:eastAsia="it-IT"/>
        </w:rPr>
        <w:t>:</w:t>
      </w:r>
      <w:r w:rsidRPr="004B4E20">
        <w:rPr>
          <w:rFonts w:ascii="Garamond" w:eastAsia="Times New Roman" w:hAnsi="Garamond" w:cs="Times New Roman"/>
          <w:color w:val="000000"/>
          <w:sz w:val="30"/>
          <w:szCs w:val="30"/>
          <w:lang w:eastAsia="it-IT"/>
        </w:rPr>
        <w:br/>
        <w:t xml:space="preserve">Brianza Energia Ambiente S.p.A., rappresentata e difesa dagli avvocati Pietro Ferraris, Enzo </w:t>
      </w:r>
      <w:proofErr w:type="spellStart"/>
      <w:r w:rsidRPr="004B4E20">
        <w:rPr>
          <w:rFonts w:ascii="Garamond" w:eastAsia="Times New Roman" w:hAnsi="Garamond" w:cs="Times New Roman"/>
          <w:color w:val="000000"/>
          <w:sz w:val="30"/>
          <w:szCs w:val="30"/>
          <w:lang w:eastAsia="it-IT"/>
        </w:rPr>
        <w:t>Robaldo</w:t>
      </w:r>
      <w:proofErr w:type="spellEnd"/>
      <w:r w:rsidRPr="004B4E20">
        <w:rPr>
          <w:rFonts w:ascii="Garamond" w:eastAsia="Times New Roman" w:hAnsi="Garamond" w:cs="Times New Roman"/>
          <w:color w:val="000000"/>
          <w:sz w:val="30"/>
          <w:szCs w:val="30"/>
          <w:lang w:eastAsia="it-IT"/>
        </w:rPr>
        <w:t xml:space="preserve"> e Francesco Caliandro, con domicilio digitale come da registri di Giustizia;</w:t>
      </w:r>
    </w:p>
    <w:p w14:paraId="5A0AC50E" w14:textId="77777777" w:rsidR="004B4E20" w:rsidRPr="004B4E20" w:rsidRDefault="004B4E20" w:rsidP="004B4E20">
      <w:pPr>
        <w:spacing w:after="0" w:line="240" w:lineRule="auto"/>
        <w:rPr>
          <w:rFonts w:ascii="Times New Roman" w:eastAsia="Times New Roman" w:hAnsi="Times New Roman" w:cs="Times New Roman"/>
          <w:sz w:val="24"/>
          <w:szCs w:val="24"/>
          <w:lang w:eastAsia="it-IT"/>
        </w:rPr>
      </w:pPr>
      <w:r w:rsidRPr="004B4E20">
        <w:rPr>
          <w:rFonts w:ascii="Times New Roman" w:eastAsia="Times New Roman" w:hAnsi="Times New Roman" w:cs="Times New Roman"/>
          <w:color w:val="000000"/>
          <w:sz w:val="27"/>
          <w:szCs w:val="27"/>
          <w:lang w:eastAsia="it-IT"/>
        </w:rPr>
        <w:br/>
      </w:r>
      <w:r w:rsidRPr="004B4E20">
        <w:rPr>
          <w:rFonts w:ascii="Times New Roman" w:eastAsia="Times New Roman" w:hAnsi="Times New Roman" w:cs="Times New Roman"/>
          <w:color w:val="000000"/>
          <w:sz w:val="27"/>
          <w:szCs w:val="27"/>
          <w:lang w:eastAsia="it-IT"/>
        </w:rPr>
        <w:br/>
      </w:r>
    </w:p>
    <w:p w14:paraId="6A368E0A"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sul ricorso numero di registro generale 2554 del 2021, proposto da</w:t>
      </w:r>
      <w:r w:rsidRPr="004B4E20">
        <w:rPr>
          <w:rFonts w:ascii="Garamond" w:eastAsia="Times New Roman" w:hAnsi="Garamond" w:cs="Times New Roman"/>
          <w:color w:val="000000"/>
          <w:sz w:val="30"/>
          <w:szCs w:val="30"/>
          <w:lang w:eastAsia="it-IT"/>
        </w:rPr>
        <w:br/>
        <w:t>A2a S.p.A., in persona del legale rappresentante pro tempore, rappresentata e difesa dagli avvocati Angelo Crisafulli, Andrea Zoppini, Giorgio Vercillo e Francesco Puntillo, con domicilio digitale come da registri di Giustizia e domicilio eletto presso lo studio dell’avvocato Andrea Zoppini in Roma, alla piazza di Spagna, n. 15;</w:t>
      </w:r>
    </w:p>
    <w:p w14:paraId="49F3FB4F"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t>contro</w:t>
      </w:r>
    </w:p>
    <w:p w14:paraId="2FFCF232" w14:textId="77777777" w:rsidR="004B4E20" w:rsidRPr="004B4E20" w:rsidRDefault="004B4E20" w:rsidP="004B4E20">
      <w:pPr>
        <w:spacing w:after="30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Impresa Individuale C.S.T. - Centro Servizi Termici di Calzolari Maurizio, </w:t>
      </w:r>
      <w:proofErr w:type="spellStart"/>
      <w:r w:rsidRPr="004B4E20">
        <w:rPr>
          <w:rFonts w:ascii="Garamond" w:eastAsia="Times New Roman" w:hAnsi="Garamond" w:cs="Times New Roman"/>
          <w:color w:val="000000"/>
          <w:sz w:val="30"/>
          <w:szCs w:val="30"/>
          <w:lang w:eastAsia="it-IT"/>
        </w:rPr>
        <w:t>De.Ca.Bo</w:t>
      </w:r>
      <w:proofErr w:type="spellEnd"/>
      <w:r w:rsidRPr="004B4E20">
        <w:rPr>
          <w:rFonts w:ascii="Garamond" w:eastAsia="Times New Roman" w:hAnsi="Garamond" w:cs="Times New Roman"/>
          <w:color w:val="000000"/>
          <w:sz w:val="30"/>
          <w:szCs w:val="30"/>
          <w:lang w:eastAsia="it-IT"/>
        </w:rPr>
        <w:t>. - Depositi Carboni Bovisa A R.L., Marco Maria Fumagalli, non costituiti in giudizio;</w:t>
      </w:r>
    </w:p>
    <w:p w14:paraId="15E4429B"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t>nei confronti</w:t>
      </w:r>
    </w:p>
    <w:p w14:paraId="70DBF0FF" w14:textId="77777777" w:rsidR="004B4E20" w:rsidRPr="004B4E20" w:rsidRDefault="004B4E20" w:rsidP="004B4E20">
      <w:pPr>
        <w:spacing w:after="30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Comune di Seregno, Ambiente Energia Brianza S.p.A., A2a Energia S.p.A., Michele Croce, Comune di Bovisio Masciago, Comune di Besana in Brianza, Comune di Limbiate, Comune di Lissone, Comune di Seveso, Comune di Triuggio, Comune di Varedo, Comune di Verano Brianza, Gestione Servizi Desio a r.l., non costituiti in giudizio;</w:t>
      </w:r>
    </w:p>
    <w:p w14:paraId="40B96BC9"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lastRenderedPageBreak/>
        <w:t>e con l'intervento di</w:t>
      </w:r>
    </w:p>
    <w:p w14:paraId="2468CF52"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ad </w:t>
      </w:r>
      <w:proofErr w:type="spellStart"/>
      <w:r w:rsidRPr="004B4E20">
        <w:rPr>
          <w:rFonts w:ascii="Garamond" w:eastAsia="Times New Roman" w:hAnsi="Garamond" w:cs="Times New Roman"/>
          <w:color w:val="000000"/>
          <w:sz w:val="30"/>
          <w:szCs w:val="30"/>
          <w:lang w:eastAsia="it-IT"/>
        </w:rPr>
        <w:t>opponendum</w:t>
      </w:r>
      <w:proofErr w:type="spellEnd"/>
      <w:r w:rsidRPr="004B4E20">
        <w:rPr>
          <w:rFonts w:ascii="Garamond" w:eastAsia="Times New Roman" w:hAnsi="Garamond" w:cs="Times New Roman"/>
          <w:color w:val="000000"/>
          <w:sz w:val="30"/>
          <w:szCs w:val="30"/>
          <w:lang w:eastAsia="it-IT"/>
        </w:rPr>
        <w:t>:</w:t>
      </w:r>
      <w:r w:rsidRPr="004B4E20">
        <w:rPr>
          <w:rFonts w:ascii="Garamond" w:eastAsia="Times New Roman" w:hAnsi="Garamond" w:cs="Times New Roman"/>
          <w:color w:val="000000"/>
          <w:sz w:val="30"/>
          <w:szCs w:val="30"/>
          <w:lang w:eastAsia="it-IT"/>
        </w:rPr>
        <w:br/>
        <w:t xml:space="preserve">Brianza Energia Ambiente S.p.A., in persona del legale rappresentante pro tempore, rappresentata e difesa dagli avvocati Pietro Ferraris, Enzo </w:t>
      </w:r>
      <w:proofErr w:type="spellStart"/>
      <w:r w:rsidRPr="004B4E20">
        <w:rPr>
          <w:rFonts w:ascii="Garamond" w:eastAsia="Times New Roman" w:hAnsi="Garamond" w:cs="Times New Roman"/>
          <w:color w:val="000000"/>
          <w:sz w:val="30"/>
          <w:szCs w:val="30"/>
          <w:lang w:eastAsia="it-IT"/>
        </w:rPr>
        <w:t>Robaldo</w:t>
      </w:r>
      <w:proofErr w:type="spellEnd"/>
      <w:r w:rsidRPr="004B4E20">
        <w:rPr>
          <w:rFonts w:ascii="Garamond" w:eastAsia="Times New Roman" w:hAnsi="Garamond" w:cs="Times New Roman"/>
          <w:color w:val="000000"/>
          <w:sz w:val="30"/>
          <w:szCs w:val="30"/>
          <w:lang w:eastAsia="it-IT"/>
        </w:rPr>
        <w:t xml:space="preserve"> e Francesco Caliandro, con domicilio digitale come da registri di Giustizia;</w:t>
      </w:r>
    </w:p>
    <w:p w14:paraId="63E63356" w14:textId="77777777" w:rsidR="004B4E20" w:rsidRPr="004B4E20" w:rsidRDefault="004B4E20" w:rsidP="004B4E20">
      <w:pPr>
        <w:spacing w:after="0" w:line="520" w:lineRule="atLeast"/>
        <w:jc w:val="center"/>
        <w:rPr>
          <w:rFonts w:ascii="Garamond" w:eastAsia="Times New Roman" w:hAnsi="Garamond" w:cs="Times New Roman"/>
          <w:b/>
          <w:bCs/>
          <w:i/>
          <w:iCs/>
          <w:color w:val="000000"/>
          <w:sz w:val="30"/>
          <w:szCs w:val="30"/>
          <w:lang w:eastAsia="it-IT"/>
        </w:rPr>
      </w:pPr>
      <w:r w:rsidRPr="004B4E20">
        <w:rPr>
          <w:rFonts w:ascii="Garamond" w:eastAsia="Times New Roman" w:hAnsi="Garamond" w:cs="Times New Roman"/>
          <w:b/>
          <w:bCs/>
          <w:i/>
          <w:iCs/>
          <w:color w:val="000000"/>
          <w:sz w:val="30"/>
          <w:szCs w:val="30"/>
          <w:lang w:eastAsia="it-IT"/>
        </w:rPr>
        <w:t>tutti per la riforma</w:t>
      </w:r>
    </w:p>
    <w:p w14:paraId="114C4D13"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della sentenza del Tribunale Amministrativo Regionale per la Lombardia – Milano, sez. </w:t>
      </w:r>
      <w:proofErr w:type="gramStart"/>
      <w:r w:rsidRPr="004B4E20">
        <w:rPr>
          <w:rFonts w:ascii="Garamond" w:eastAsia="Times New Roman" w:hAnsi="Garamond" w:cs="Times New Roman"/>
          <w:color w:val="000000"/>
          <w:sz w:val="30"/>
          <w:szCs w:val="30"/>
          <w:lang w:eastAsia="it-IT"/>
        </w:rPr>
        <w:t>I,,</w:t>
      </w:r>
      <w:proofErr w:type="gramEnd"/>
      <w:r w:rsidRPr="004B4E20">
        <w:rPr>
          <w:rFonts w:ascii="Garamond" w:eastAsia="Times New Roman" w:hAnsi="Garamond" w:cs="Times New Roman"/>
          <w:color w:val="000000"/>
          <w:sz w:val="30"/>
          <w:szCs w:val="30"/>
          <w:lang w:eastAsia="it-IT"/>
        </w:rPr>
        <w:t xml:space="preserve"> n. 412/2021, resa tra le parti;</w:t>
      </w:r>
    </w:p>
    <w:p w14:paraId="37359BC8" w14:textId="77777777" w:rsidR="004B4E20" w:rsidRPr="004B4E20" w:rsidRDefault="004B4E20" w:rsidP="004B4E20">
      <w:pPr>
        <w:spacing w:after="0" w:line="240" w:lineRule="auto"/>
        <w:rPr>
          <w:rFonts w:ascii="Times New Roman" w:eastAsia="Times New Roman" w:hAnsi="Times New Roman" w:cs="Times New Roman"/>
          <w:sz w:val="24"/>
          <w:szCs w:val="24"/>
          <w:lang w:eastAsia="it-IT"/>
        </w:rPr>
      </w:pPr>
      <w:r w:rsidRPr="004B4E20">
        <w:rPr>
          <w:rFonts w:ascii="Times New Roman" w:eastAsia="Times New Roman" w:hAnsi="Times New Roman" w:cs="Times New Roman"/>
          <w:color w:val="000000"/>
          <w:sz w:val="27"/>
          <w:szCs w:val="27"/>
          <w:lang w:eastAsia="it-IT"/>
        </w:rPr>
        <w:br/>
      </w:r>
    </w:p>
    <w:p w14:paraId="1EA6253E"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Visti i ricorsi in appello e i relativi allegati;</w:t>
      </w:r>
    </w:p>
    <w:p w14:paraId="66EF905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Visti gli atti di costituzione in giudizio dei Comuni di Bovisio Masciago, Limbiate, Lissone, Seveso, Triuggio, Varedo, Verano Brianza, Barlassina e Cogliate, nonché di Gestione Servizi Desio S.r.l.;</w:t>
      </w:r>
    </w:p>
    <w:p w14:paraId="0F814B20"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Visti gli atti di intervento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opponendum</w:t>
      </w:r>
      <w:proofErr w:type="spellEnd"/>
      <w:r w:rsidRPr="004B4E20">
        <w:rPr>
          <w:rFonts w:ascii="Garamond" w:eastAsia="Times New Roman" w:hAnsi="Garamond" w:cs="Times New Roman"/>
          <w:i/>
          <w:iCs/>
          <w:color w:val="000000"/>
          <w:sz w:val="30"/>
          <w:szCs w:val="30"/>
          <w:lang w:eastAsia="it-IT"/>
        </w:rPr>
        <w:t> </w:t>
      </w:r>
      <w:r w:rsidRPr="004B4E20">
        <w:rPr>
          <w:rFonts w:ascii="Garamond" w:eastAsia="Times New Roman" w:hAnsi="Garamond" w:cs="Times New Roman"/>
          <w:color w:val="000000"/>
          <w:sz w:val="30"/>
          <w:szCs w:val="30"/>
          <w:lang w:eastAsia="it-IT"/>
        </w:rPr>
        <w:t>di Brianza Energia Ambiente S.p.A. e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adiuvandum</w:t>
      </w:r>
      <w:proofErr w:type="spellEnd"/>
      <w:r w:rsidRPr="004B4E20">
        <w:rPr>
          <w:rFonts w:ascii="Garamond" w:eastAsia="Times New Roman" w:hAnsi="Garamond" w:cs="Times New Roman"/>
          <w:i/>
          <w:iCs/>
          <w:color w:val="000000"/>
          <w:sz w:val="30"/>
          <w:szCs w:val="30"/>
          <w:lang w:eastAsia="it-IT"/>
        </w:rPr>
        <w:t> </w:t>
      </w:r>
      <w:r w:rsidRPr="004B4E20">
        <w:rPr>
          <w:rFonts w:ascii="Garamond" w:eastAsia="Times New Roman" w:hAnsi="Garamond" w:cs="Times New Roman"/>
          <w:color w:val="000000"/>
          <w:sz w:val="30"/>
          <w:szCs w:val="30"/>
          <w:lang w:eastAsia="it-IT"/>
        </w:rPr>
        <w:t xml:space="preserve">di </w:t>
      </w:r>
      <w:proofErr w:type="spellStart"/>
      <w:r w:rsidRPr="004B4E20">
        <w:rPr>
          <w:rFonts w:ascii="Garamond" w:eastAsia="Times New Roman" w:hAnsi="Garamond" w:cs="Times New Roman"/>
          <w:color w:val="000000"/>
          <w:sz w:val="30"/>
          <w:szCs w:val="30"/>
          <w:lang w:eastAsia="it-IT"/>
        </w:rPr>
        <w:t>Gelsia</w:t>
      </w:r>
      <w:proofErr w:type="spellEnd"/>
      <w:r w:rsidRPr="004B4E20">
        <w:rPr>
          <w:rFonts w:ascii="Garamond" w:eastAsia="Times New Roman" w:hAnsi="Garamond" w:cs="Times New Roman"/>
          <w:color w:val="000000"/>
          <w:sz w:val="30"/>
          <w:szCs w:val="30"/>
          <w:lang w:eastAsia="it-IT"/>
        </w:rPr>
        <w:t xml:space="preserve"> Ambente S.r.l.</w:t>
      </w:r>
    </w:p>
    <w:p w14:paraId="6E2BC53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Visti tutti gli atti della causa;</w:t>
      </w:r>
    </w:p>
    <w:p w14:paraId="2039D0D5"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Relatore nell'udienza pubblica del giorno 1 luglio 2021, tenuta da remoto secondo quanto stabilito dall’art. 25 del d.l. 28 ottobre 20020, convertito con modificazioni dalla l. 18 dicembre 2020, n. 176, modificato dall’art. 1, comma 17, del d.l. 31 dicembre 2020, n. 183, convertito con modificazioni dalla l. 26 febbraio 2021, n. 21, il Cons. Giovanni Grasso e uditi per le parti gli avvocati Angelo e Paolo </w:t>
      </w:r>
      <w:proofErr w:type="spellStart"/>
      <w:r w:rsidRPr="004B4E20">
        <w:rPr>
          <w:rFonts w:ascii="Garamond" w:eastAsia="Times New Roman" w:hAnsi="Garamond" w:cs="Times New Roman"/>
          <w:color w:val="000000"/>
          <w:sz w:val="30"/>
          <w:szCs w:val="30"/>
          <w:lang w:eastAsia="it-IT"/>
        </w:rPr>
        <w:t>Clarizia</w:t>
      </w:r>
      <w:proofErr w:type="spellEnd"/>
      <w:r w:rsidRPr="004B4E20">
        <w:rPr>
          <w:rFonts w:ascii="Garamond" w:eastAsia="Times New Roman" w:hAnsi="Garamond" w:cs="Times New Roman"/>
          <w:color w:val="000000"/>
          <w:sz w:val="30"/>
          <w:szCs w:val="30"/>
          <w:lang w:eastAsia="it-IT"/>
        </w:rPr>
        <w:t>, Iacovone, Sciaudone, Freni, Monello, Carbone, Caliandro, Crisafulli, Zoppini, Vercillo e Carullo;</w:t>
      </w:r>
    </w:p>
    <w:p w14:paraId="650D4CF9"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Ritenuto e considerato in fatto e diritto quanto segue.</w:t>
      </w:r>
    </w:p>
    <w:p w14:paraId="4A4EE53E" w14:textId="77777777" w:rsidR="004B4E20" w:rsidRPr="004B4E20" w:rsidRDefault="004B4E20" w:rsidP="004B4E20">
      <w:pPr>
        <w:spacing w:after="0" w:line="240" w:lineRule="auto"/>
        <w:rPr>
          <w:rFonts w:ascii="Times New Roman" w:eastAsia="Times New Roman" w:hAnsi="Times New Roman" w:cs="Times New Roman"/>
          <w:sz w:val="24"/>
          <w:szCs w:val="24"/>
          <w:lang w:eastAsia="it-IT"/>
        </w:rPr>
      </w:pPr>
      <w:r w:rsidRPr="004B4E20">
        <w:rPr>
          <w:rFonts w:ascii="Times New Roman" w:eastAsia="Times New Roman" w:hAnsi="Times New Roman" w:cs="Times New Roman"/>
          <w:color w:val="000000"/>
          <w:sz w:val="27"/>
          <w:szCs w:val="27"/>
          <w:lang w:eastAsia="it-IT"/>
        </w:rPr>
        <w:br/>
      </w:r>
    </w:p>
    <w:p w14:paraId="4FBD4DDE" w14:textId="77777777" w:rsidR="004B4E20" w:rsidRPr="004B4E20" w:rsidRDefault="004B4E20" w:rsidP="004B4E20">
      <w:pPr>
        <w:spacing w:after="0" w:line="540" w:lineRule="atLeast"/>
        <w:jc w:val="center"/>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FATTO</w:t>
      </w:r>
    </w:p>
    <w:p w14:paraId="2C612F64"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lastRenderedPageBreak/>
        <w:t>1.- Ambiente Energia Brianza S.p.a. (AEB) è una società partecipata dal Comune di Seregno e da altri enti locali, a sua volta controllante: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xml:space="preserve">) al 99,936%, di </w:t>
      </w:r>
      <w:proofErr w:type="spellStart"/>
      <w:r w:rsidRPr="004B4E20">
        <w:rPr>
          <w:rFonts w:ascii="Garamond" w:eastAsia="Times New Roman" w:hAnsi="Garamond" w:cs="Times New Roman"/>
          <w:color w:val="000000"/>
          <w:sz w:val="30"/>
          <w:szCs w:val="30"/>
          <w:lang w:eastAsia="it-IT"/>
        </w:rPr>
        <w:t>RetePiù</w:t>
      </w:r>
      <w:proofErr w:type="spellEnd"/>
      <w:r w:rsidRPr="004B4E20">
        <w:rPr>
          <w:rFonts w:ascii="Garamond" w:eastAsia="Times New Roman" w:hAnsi="Garamond" w:cs="Times New Roman"/>
          <w:color w:val="000000"/>
          <w:sz w:val="30"/>
          <w:szCs w:val="30"/>
          <w:lang w:eastAsia="it-IT"/>
        </w:rPr>
        <w:t xml:space="preserve"> S.r.l., attiva nei settori della distribuzione del gas naturale e dell’energia elettrica nonché dell’illuminazione pubblica;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xml:space="preserve">) al 100%, di </w:t>
      </w:r>
      <w:proofErr w:type="spellStart"/>
      <w:r w:rsidRPr="004B4E20">
        <w:rPr>
          <w:rFonts w:ascii="Garamond" w:eastAsia="Times New Roman" w:hAnsi="Garamond" w:cs="Times New Roman"/>
          <w:color w:val="000000"/>
          <w:sz w:val="30"/>
          <w:szCs w:val="30"/>
          <w:lang w:eastAsia="it-IT"/>
        </w:rPr>
        <w:t>Gelsia</w:t>
      </w:r>
      <w:proofErr w:type="spellEnd"/>
      <w:r w:rsidRPr="004B4E20">
        <w:rPr>
          <w:rFonts w:ascii="Garamond" w:eastAsia="Times New Roman" w:hAnsi="Garamond" w:cs="Times New Roman"/>
          <w:color w:val="000000"/>
          <w:sz w:val="30"/>
          <w:szCs w:val="30"/>
          <w:lang w:eastAsia="it-IT"/>
        </w:rPr>
        <w:t xml:space="preserve"> S.r.l., attiva nei settori di fornitura di gas naturale e di energia elettrica, produzione di energia elettrica e termica, teleriscaldamento e gestione calore;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xml:space="preserve">) al 70%, di </w:t>
      </w:r>
      <w:proofErr w:type="spellStart"/>
      <w:r w:rsidRPr="004B4E20">
        <w:rPr>
          <w:rFonts w:ascii="Garamond" w:eastAsia="Times New Roman" w:hAnsi="Garamond" w:cs="Times New Roman"/>
          <w:color w:val="000000"/>
          <w:sz w:val="30"/>
          <w:szCs w:val="30"/>
          <w:lang w:eastAsia="it-IT"/>
        </w:rPr>
        <w:t>Gelsia</w:t>
      </w:r>
      <w:proofErr w:type="spellEnd"/>
      <w:r w:rsidRPr="004B4E20">
        <w:rPr>
          <w:rFonts w:ascii="Garamond" w:eastAsia="Times New Roman" w:hAnsi="Garamond" w:cs="Times New Roman"/>
          <w:color w:val="000000"/>
          <w:sz w:val="30"/>
          <w:szCs w:val="30"/>
          <w:lang w:eastAsia="it-IT"/>
        </w:rPr>
        <w:t xml:space="preserve"> Ambiente S.r.l., attiva nel settore dell’igiene urbana (raccolta e smaltimento rifiuti, pulizia strade).</w:t>
      </w:r>
    </w:p>
    <w:p w14:paraId="2763DED4"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A2A S.p.a. è una società quotata, con un capitale sociale pari a € 1.629.110.744, diviso in n. 3.132.905.277 azioni, di cui una parte (pari del 50% del capitale sociale più due azioni) detenuta in misura paritaria dal Comune di Milano e dal Comune di Brescia (per un totale di n. 1.566.452.642 azioni) e la parte residua detenuta da azionisti diversi, per il tramite del cosiddetto flottante di borsa.</w:t>
      </w:r>
    </w:p>
    <w:p w14:paraId="3D683A24"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La società è a capo di un gruppo aziendale, denominato Gruppo A2A, operante principalmente nei settori della produzione, vendita e distribuzione di gas naturale e di energia elettrica, del teleriscaldamento, dell’ambiente e del ciclo idrico integrato.</w:t>
      </w:r>
    </w:p>
    <w:p w14:paraId="628B49B9"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1.2.- Il 17 ottobre 2019 le due società avviavano, previa sottoscrizione di una lettera di intenti, uno studio di fattibilità finalizzato alla individuazione di un percorso di crescita volto a rendere il Gruppo AEB “</w:t>
      </w:r>
      <w:r w:rsidRPr="004B4E20">
        <w:rPr>
          <w:rFonts w:ascii="Garamond" w:eastAsia="Times New Roman" w:hAnsi="Garamond" w:cs="Times New Roman"/>
          <w:i/>
          <w:iCs/>
          <w:color w:val="000000"/>
          <w:sz w:val="30"/>
          <w:szCs w:val="30"/>
          <w:lang w:eastAsia="it-IT"/>
        </w:rPr>
        <w:t>un soggetto maggiormente competitivo sui mercati di riferimento, capace di valorizzare al meglio le proprie eccellenze operative e di incrementare il presidio territoriale</w:t>
      </w:r>
      <w:r w:rsidRPr="004B4E20">
        <w:rPr>
          <w:rFonts w:ascii="Garamond" w:eastAsia="Times New Roman" w:hAnsi="Garamond" w:cs="Times New Roman"/>
          <w:color w:val="000000"/>
          <w:sz w:val="30"/>
          <w:szCs w:val="30"/>
          <w:lang w:eastAsia="it-IT"/>
        </w:rPr>
        <w:t>”.</w:t>
      </w:r>
    </w:p>
    <w:p w14:paraId="1498257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Il termine di quarantacinque giorni, inizialmente stabilito dalla lettera di intenti per la conclusione dello studio, veniva poi prorogato, al fine di consentire la prosecuzione del tavolo finalizzato a individuare una proposta non vincolante per una possibile operazione di </w:t>
      </w:r>
      <w:r w:rsidRPr="004B4E20">
        <w:rPr>
          <w:rFonts w:ascii="Garamond" w:eastAsia="Times New Roman" w:hAnsi="Garamond" w:cs="Times New Roman"/>
          <w:i/>
          <w:iCs/>
          <w:color w:val="000000"/>
          <w:sz w:val="30"/>
          <w:szCs w:val="30"/>
          <w:lang w:eastAsia="it-IT"/>
        </w:rPr>
        <w:t>partnership</w:t>
      </w:r>
      <w:r w:rsidRPr="004B4E20">
        <w:rPr>
          <w:rFonts w:ascii="Garamond" w:eastAsia="Times New Roman" w:hAnsi="Garamond" w:cs="Times New Roman"/>
          <w:color w:val="000000"/>
          <w:sz w:val="30"/>
          <w:szCs w:val="30"/>
          <w:lang w:eastAsia="it-IT"/>
        </w:rPr>
        <w:t> di natura industriale, da sottoporre, poi, ai rispettivi organi decisionali competenti.</w:t>
      </w:r>
    </w:p>
    <w:p w14:paraId="2BE1DEE2"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In tale prospettiva i documenti di programmazione approntati dal Comune di Seregno – da ultimo con la nota di aggiornamento del documento unico di </w:t>
      </w:r>
      <w:r w:rsidRPr="004B4E20">
        <w:rPr>
          <w:rFonts w:ascii="Garamond" w:eastAsia="Times New Roman" w:hAnsi="Garamond" w:cs="Times New Roman"/>
          <w:color w:val="000000"/>
          <w:sz w:val="30"/>
          <w:szCs w:val="30"/>
          <w:lang w:eastAsia="it-IT"/>
        </w:rPr>
        <w:lastRenderedPageBreak/>
        <w:t>programmazione (DUP) per i periodi 2020-2023 (“</w:t>
      </w:r>
      <w:r w:rsidRPr="004B4E20">
        <w:rPr>
          <w:rFonts w:ascii="Garamond" w:eastAsia="Times New Roman" w:hAnsi="Garamond" w:cs="Times New Roman"/>
          <w:i/>
          <w:iCs/>
          <w:color w:val="000000"/>
          <w:sz w:val="30"/>
          <w:szCs w:val="30"/>
          <w:lang w:eastAsia="it-IT"/>
        </w:rPr>
        <w:t>sezione strategica</w:t>
      </w:r>
      <w:r w:rsidRPr="004B4E20">
        <w:rPr>
          <w:rFonts w:ascii="Garamond" w:eastAsia="Times New Roman" w:hAnsi="Garamond" w:cs="Times New Roman"/>
          <w:color w:val="000000"/>
          <w:sz w:val="30"/>
          <w:szCs w:val="30"/>
          <w:lang w:eastAsia="it-IT"/>
        </w:rPr>
        <w:t>”) e 2020-2022 (“</w:t>
      </w:r>
      <w:r w:rsidRPr="004B4E20">
        <w:rPr>
          <w:rFonts w:ascii="Garamond" w:eastAsia="Times New Roman" w:hAnsi="Garamond" w:cs="Times New Roman"/>
          <w:i/>
          <w:iCs/>
          <w:color w:val="000000"/>
          <w:sz w:val="30"/>
          <w:szCs w:val="30"/>
          <w:lang w:eastAsia="it-IT"/>
        </w:rPr>
        <w:t>sezione operativa</w:t>
      </w:r>
      <w:r w:rsidRPr="004B4E20">
        <w:rPr>
          <w:rFonts w:ascii="Garamond" w:eastAsia="Times New Roman" w:hAnsi="Garamond" w:cs="Times New Roman"/>
          <w:color w:val="000000"/>
          <w:sz w:val="30"/>
          <w:szCs w:val="30"/>
          <w:lang w:eastAsia="it-IT"/>
        </w:rPr>
        <w:t>”), approvata con la deliberazione del Consiglio Comunale n. 15/2020 – avevano delineato una serie di obiettivi delle attività di gestione della partecipazione, finalizzati ad un “</w:t>
      </w:r>
      <w:r w:rsidRPr="004B4E20">
        <w:rPr>
          <w:rFonts w:ascii="Garamond" w:eastAsia="Times New Roman" w:hAnsi="Garamond" w:cs="Times New Roman"/>
          <w:i/>
          <w:iCs/>
          <w:color w:val="000000"/>
          <w:sz w:val="30"/>
          <w:szCs w:val="30"/>
          <w:lang w:eastAsia="it-IT"/>
        </w:rPr>
        <w:t>rafforzamento industriale del Gruppo AEB</w:t>
      </w:r>
      <w:r w:rsidRPr="004B4E20">
        <w:rPr>
          <w:rFonts w:ascii="Garamond" w:eastAsia="Times New Roman" w:hAnsi="Garamond" w:cs="Times New Roman"/>
          <w:color w:val="000000"/>
          <w:sz w:val="30"/>
          <w:szCs w:val="30"/>
          <w:lang w:eastAsia="it-IT"/>
        </w:rPr>
        <w:t>”, ritenuto dal Comune “</w:t>
      </w:r>
      <w:r w:rsidRPr="004B4E20">
        <w:rPr>
          <w:rFonts w:ascii="Garamond" w:eastAsia="Times New Roman" w:hAnsi="Garamond" w:cs="Times New Roman"/>
          <w:i/>
          <w:iCs/>
          <w:color w:val="000000"/>
          <w:sz w:val="30"/>
          <w:szCs w:val="30"/>
          <w:lang w:eastAsia="it-IT"/>
        </w:rPr>
        <w:t>fondamentale per garantire la sua competitività, la sua efficienza e la necessità di accrescere e sviluppare le proprie linee di </w:t>
      </w:r>
      <w:r w:rsidRPr="004B4E20">
        <w:rPr>
          <w:rFonts w:ascii="Garamond" w:eastAsia="Times New Roman" w:hAnsi="Garamond" w:cs="Times New Roman"/>
          <w:color w:val="000000"/>
          <w:sz w:val="30"/>
          <w:szCs w:val="30"/>
          <w:lang w:eastAsia="it-IT"/>
        </w:rPr>
        <w:t>business […] </w:t>
      </w:r>
      <w:r w:rsidRPr="004B4E20">
        <w:rPr>
          <w:rFonts w:ascii="Garamond" w:eastAsia="Times New Roman" w:hAnsi="Garamond" w:cs="Times New Roman"/>
          <w:i/>
          <w:iCs/>
          <w:color w:val="000000"/>
          <w:sz w:val="30"/>
          <w:szCs w:val="30"/>
          <w:lang w:eastAsia="it-IT"/>
        </w:rPr>
        <w:t>all’interno delle seguenti coordinate: 1) garanzia del mantenimento del riferimento territoriale coerente con la storia centenaria del Gruppo; 2) mantenimento dei livelli occupazionali e delle presenze fisiche sul territorio di riferimento; 3) salvaguardia dell’identità di Gruppo con società partecipate a controllo pubblico e conferma che il Comune di Seregno mantenga il proprio ruolo di azionista di riferimento; 4) individuazione di una prospettiva di crescita per linee esterne; 5) opportunità di perfezionamento della gestione del ciclo dei rifiuti, estendendo i servizi della gara a doppio oggetto; 6) coordinamento della scelta di partnership con un piano industriale che sviluppi di obiettivi strategici e operativi</w:t>
      </w:r>
      <w:r w:rsidRPr="004B4E20">
        <w:rPr>
          <w:rFonts w:ascii="Garamond" w:eastAsia="Times New Roman" w:hAnsi="Garamond" w:cs="Times New Roman"/>
          <w:color w:val="000000"/>
          <w:sz w:val="30"/>
          <w:szCs w:val="30"/>
          <w:lang w:eastAsia="it-IT"/>
        </w:rPr>
        <w:t>”.</w:t>
      </w:r>
    </w:p>
    <w:p w14:paraId="133054BA"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Da qui la evidenziata necessità di intraprendere “</w:t>
      </w:r>
      <w:r w:rsidRPr="004B4E20">
        <w:rPr>
          <w:rFonts w:ascii="Garamond" w:eastAsia="Times New Roman" w:hAnsi="Garamond" w:cs="Times New Roman"/>
          <w:i/>
          <w:iCs/>
          <w:color w:val="000000"/>
          <w:sz w:val="30"/>
          <w:szCs w:val="30"/>
          <w:lang w:eastAsia="it-IT"/>
        </w:rPr>
        <w:t xml:space="preserve">un percorso strategico atto a realizzare un piano industriale di gruppo che </w:t>
      </w:r>
      <w:proofErr w:type="spellStart"/>
      <w:r w:rsidRPr="004B4E20">
        <w:rPr>
          <w:rFonts w:ascii="Garamond" w:eastAsia="Times New Roman" w:hAnsi="Garamond" w:cs="Times New Roman"/>
          <w:i/>
          <w:iCs/>
          <w:color w:val="000000"/>
          <w:sz w:val="30"/>
          <w:szCs w:val="30"/>
          <w:lang w:eastAsia="it-IT"/>
        </w:rPr>
        <w:t>consent</w:t>
      </w:r>
      <w:proofErr w:type="spellEnd"/>
      <w:r w:rsidRPr="004B4E20">
        <w:rPr>
          <w:rFonts w:ascii="Garamond" w:eastAsia="Times New Roman" w:hAnsi="Garamond" w:cs="Times New Roman"/>
          <w:color w:val="000000"/>
          <w:sz w:val="30"/>
          <w:szCs w:val="30"/>
          <w:lang w:eastAsia="it-IT"/>
        </w:rPr>
        <w:t>[</w:t>
      </w:r>
      <w:proofErr w:type="spellStart"/>
      <w:r w:rsidRPr="004B4E20">
        <w:rPr>
          <w:rFonts w:ascii="Garamond" w:eastAsia="Times New Roman" w:hAnsi="Garamond" w:cs="Times New Roman"/>
          <w:color w:val="000000"/>
          <w:sz w:val="30"/>
          <w:szCs w:val="30"/>
          <w:lang w:eastAsia="it-IT"/>
        </w:rPr>
        <w:t>isse</w:t>
      </w:r>
      <w:proofErr w:type="spellEnd"/>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al Gruppo stesso di migliorare la propria redditività, aumentare l’offerta di servizi e incrementare il numero dei clienti serviti e, al contempo, di disporre della condizione patrimoniale e finanziaria per affrontare le prossime gare di ambito nel comparto della distribuzione del gas naturale nonché le altre “sfide”</w:t>
      </w:r>
      <w:r w:rsidRPr="004B4E20">
        <w:rPr>
          <w:rFonts w:ascii="Garamond" w:eastAsia="Times New Roman" w:hAnsi="Garamond" w:cs="Times New Roman"/>
          <w:color w:val="000000"/>
          <w:sz w:val="30"/>
          <w:szCs w:val="30"/>
          <w:lang w:eastAsia="it-IT"/>
        </w:rPr>
        <w:t>” industriali.</w:t>
      </w:r>
    </w:p>
    <w:p w14:paraId="402F2821"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1.3.- Il confronto tra le parti si concludeva con la sottoscrizione di un “</w:t>
      </w:r>
      <w:r w:rsidRPr="004B4E20">
        <w:rPr>
          <w:rFonts w:ascii="Garamond" w:eastAsia="Times New Roman" w:hAnsi="Garamond" w:cs="Times New Roman"/>
          <w:i/>
          <w:iCs/>
          <w:color w:val="000000"/>
          <w:sz w:val="30"/>
          <w:szCs w:val="30"/>
          <w:lang w:eastAsia="it-IT"/>
        </w:rPr>
        <w:t>Accordo Quadro</w:t>
      </w:r>
      <w:r w:rsidRPr="004B4E20">
        <w:rPr>
          <w:rFonts w:ascii="Garamond" w:eastAsia="Times New Roman" w:hAnsi="Garamond" w:cs="Times New Roman"/>
          <w:color w:val="000000"/>
          <w:sz w:val="30"/>
          <w:szCs w:val="30"/>
          <w:lang w:eastAsia="it-IT"/>
        </w:rPr>
        <w:t>”, poi oggetto di due parziali modifiche, mediante il quale le parti definivano i principali aspetti dell’operazione.</w:t>
      </w:r>
    </w:p>
    <w:p w14:paraId="6C235B8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Nel dettaglio – al preordinato fine di “</w:t>
      </w:r>
      <w:r w:rsidRPr="004B4E20">
        <w:rPr>
          <w:rFonts w:ascii="Garamond" w:eastAsia="Times New Roman" w:hAnsi="Garamond" w:cs="Times New Roman"/>
          <w:i/>
          <w:iCs/>
          <w:color w:val="000000"/>
          <w:sz w:val="30"/>
          <w:szCs w:val="30"/>
          <w:lang w:eastAsia="it-IT"/>
        </w:rPr>
        <w:t>valorizzare le singole società del Gruppo AEB e il loro attuale presidio territoriale</w:t>
      </w:r>
      <w:r w:rsidRPr="004B4E20">
        <w:rPr>
          <w:rFonts w:ascii="Garamond" w:eastAsia="Times New Roman" w:hAnsi="Garamond" w:cs="Times New Roman"/>
          <w:color w:val="000000"/>
          <w:sz w:val="30"/>
          <w:szCs w:val="30"/>
          <w:lang w:eastAsia="it-IT"/>
        </w:rPr>
        <w:t>”, di “</w:t>
      </w:r>
      <w:r w:rsidRPr="004B4E20">
        <w:rPr>
          <w:rFonts w:ascii="Garamond" w:eastAsia="Times New Roman" w:hAnsi="Garamond" w:cs="Times New Roman"/>
          <w:i/>
          <w:iCs/>
          <w:color w:val="000000"/>
          <w:sz w:val="30"/>
          <w:szCs w:val="30"/>
          <w:lang w:eastAsia="it-IT"/>
        </w:rPr>
        <w:t>incrementare e rafforzare i servizi forniti sul territorio</w:t>
      </w:r>
      <w:r w:rsidRPr="004B4E20">
        <w:rPr>
          <w:rFonts w:ascii="Garamond" w:eastAsia="Times New Roman" w:hAnsi="Garamond" w:cs="Times New Roman"/>
          <w:color w:val="000000"/>
          <w:sz w:val="30"/>
          <w:szCs w:val="30"/>
          <w:lang w:eastAsia="it-IT"/>
        </w:rPr>
        <w:t>”, di “</w:t>
      </w:r>
      <w:r w:rsidRPr="004B4E20">
        <w:rPr>
          <w:rFonts w:ascii="Garamond" w:eastAsia="Times New Roman" w:hAnsi="Garamond" w:cs="Times New Roman"/>
          <w:i/>
          <w:iCs/>
          <w:color w:val="000000"/>
          <w:sz w:val="30"/>
          <w:szCs w:val="30"/>
          <w:lang w:eastAsia="it-IT"/>
        </w:rPr>
        <w:t>realizzare un percorso di crescita in ogni mercato di interesse del Gruppo AEB e, segnatamente, nell’ambito del settore del gas naturale e dell’energia, del teleriscaldamento, della cogenerazione e dell’illuminazione pubblica</w:t>
      </w:r>
      <w:r w:rsidRPr="004B4E20">
        <w:rPr>
          <w:rFonts w:ascii="Garamond" w:eastAsia="Times New Roman" w:hAnsi="Garamond" w:cs="Times New Roman"/>
          <w:color w:val="000000"/>
          <w:sz w:val="30"/>
          <w:szCs w:val="30"/>
          <w:lang w:eastAsia="it-IT"/>
        </w:rPr>
        <w:t>” – le parti contraenti ipotizzavano di dar corso ad un progetto di “</w:t>
      </w:r>
      <w:r w:rsidRPr="004B4E20">
        <w:rPr>
          <w:rFonts w:ascii="Garamond" w:eastAsia="Times New Roman" w:hAnsi="Garamond" w:cs="Times New Roman"/>
          <w:i/>
          <w:iCs/>
          <w:color w:val="000000"/>
          <w:sz w:val="30"/>
          <w:szCs w:val="30"/>
          <w:lang w:eastAsia="it-IT"/>
        </w:rPr>
        <w:t>aggregazione societaria</w:t>
      </w:r>
      <w:r w:rsidRPr="004B4E20">
        <w:rPr>
          <w:rFonts w:ascii="Garamond" w:eastAsia="Times New Roman" w:hAnsi="Garamond" w:cs="Times New Roman"/>
          <w:color w:val="000000"/>
          <w:sz w:val="30"/>
          <w:szCs w:val="30"/>
          <w:lang w:eastAsia="it-IT"/>
        </w:rPr>
        <w:t>” così strutturato: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xml:space="preserve">) acquisizione del 100% di A2A </w:t>
      </w:r>
      <w:r w:rsidRPr="004B4E20">
        <w:rPr>
          <w:rFonts w:ascii="Garamond" w:eastAsia="Times New Roman" w:hAnsi="Garamond" w:cs="Times New Roman"/>
          <w:color w:val="000000"/>
          <w:sz w:val="30"/>
          <w:szCs w:val="30"/>
          <w:lang w:eastAsia="it-IT"/>
        </w:rPr>
        <w:lastRenderedPageBreak/>
        <w:t xml:space="preserve">Illuminazione Pubblica S.r.l. (società del Gruppo A2A) da parte di </w:t>
      </w:r>
      <w:proofErr w:type="spellStart"/>
      <w:r w:rsidRPr="004B4E20">
        <w:rPr>
          <w:rFonts w:ascii="Garamond" w:eastAsia="Times New Roman" w:hAnsi="Garamond" w:cs="Times New Roman"/>
          <w:color w:val="000000"/>
          <w:sz w:val="30"/>
          <w:szCs w:val="30"/>
          <w:lang w:eastAsia="it-IT"/>
        </w:rPr>
        <w:t>Unareti</w:t>
      </w:r>
      <w:proofErr w:type="spellEnd"/>
      <w:r w:rsidRPr="004B4E20">
        <w:rPr>
          <w:rFonts w:ascii="Garamond" w:eastAsia="Times New Roman" w:hAnsi="Garamond" w:cs="Times New Roman"/>
          <w:color w:val="000000"/>
          <w:sz w:val="30"/>
          <w:szCs w:val="30"/>
          <w:lang w:eastAsia="it-IT"/>
        </w:rPr>
        <w:t xml:space="preserve"> S.p.a. (altra società appartenente allo stesso Gruppo);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xml:space="preserve">) scissione di </w:t>
      </w:r>
      <w:proofErr w:type="spellStart"/>
      <w:r w:rsidRPr="004B4E20">
        <w:rPr>
          <w:rFonts w:ascii="Garamond" w:eastAsia="Times New Roman" w:hAnsi="Garamond" w:cs="Times New Roman"/>
          <w:color w:val="000000"/>
          <w:sz w:val="30"/>
          <w:szCs w:val="30"/>
          <w:lang w:eastAsia="it-IT"/>
        </w:rPr>
        <w:t>Unareti</w:t>
      </w:r>
      <w:proofErr w:type="spellEnd"/>
      <w:r w:rsidRPr="004B4E20">
        <w:rPr>
          <w:rFonts w:ascii="Garamond" w:eastAsia="Times New Roman" w:hAnsi="Garamond" w:cs="Times New Roman"/>
          <w:color w:val="000000"/>
          <w:sz w:val="30"/>
          <w:szCs w:val="30"/>
          <w:lang w:eastAsia="it-IT"/>
        </w:rPr>
        <w:t xml:space="preserve"> S.p.a. in AEB, relativamente al 100% della partecipazione in A2A Illuminazione Pubblica S.r.l., nonché ai punti di riconsegna (PDR) identificati nell’ambito del ramo di distribuzione del gas naturale;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xml:space="preserve">) conferimento in </w:t>
      </w:r>
      <w:proofErr w:type="spellStart"/>
      <w:r w:rsidRPr="004B4E20">
        <w:rPr>
          <w:rFonts w:ascii="Garamond" w:eastAsia="Times New Roman" w:hAnsi="Garamond" w:cs="Times New Roman"/>
          <w:color w:val="000000"/>
          <w:sz w:val="30"/>
          <w:szCs w:val="30"/>
          <w:lang w:eastAsia="it-IT"/>
        </w:rPr>
        <w:t>RetiPiù</w:t>
      </w:r>
      <w:proofErr w:type="spellEnd"/>
      <w:r w:rsidRPr="004B4E20">
        <w:rPr>
          <w:rFonts w:ascii="Garamond" w:eastAsia="Times New Roman" w:hAnsi="Garamond" w:cs="Times New Roman"/>
          <w:color w:val="000000"/>
          <w:sz w:val="30"/>
          <w:szCs w:val="30"/>
          <w:lang w:eastAsia="it-IT"/>
        </w:rPr>
        <w:t xml:space="preserve"> S.r.l., da parte di AEB, dei punti di riconsegna (PDR) identificati nell’ambito dell’attività di distribuzione del gas naturale precedentemente scissi da </w:t>
      </w:r>
      <w:proofErr w:type="spellStart"/>
      <w:r w:rsidRPr="004B4E20">
        <w:rPr>
          <w:rFonts w:ascii="Garamond" w:eastAsia="Times New Roman" w:hAnsi="Garamond" w:cs="Times New Roman"/>
          <w:color w:val="000000"/>
          <w:sz w:val="30"/>
          <w:szCs w:val="30"/>
          <w:lang w:eastAsia="it-IT"/>
        </w:rPr>
        <w:t>Unareti</w:t>
      </w:r>
      <w:proofErr w:type="spellEnd"/>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d</w:t>
      </w:r>
      <w:r w:rsidRPr="004B4E20">
        <w:rPr>
          <w:rFonts w:ascii="Garamond" w:eastAsia="Times New Roman" w:hAnsi="Garamond" w:cs="Times New Roman"/>
          <w:color w:val="000000"/>
          <w:sz w:val="30"/>
          <w:szCs w:val="30"/>
          <w:lang w:eastAsia="it-IT"/>
        </w:rPr>
        <w:t>) assegnazione di n. 794.441.950 azioni di “</w:t>
      </w:r>
      <w:r w:rsidRPr="004B4E20">
        <w:rPr>
          <w:rFonts w:ascii="Garamond" w:eastAsia="Times New Roman" w:hAnsi="Garamond" w:cs="Times New Roman"/>
          <w:i/>
          <w:iCs/>
          <w:color w:val="000000"/>
          <w:sz w:val="30"/>
          <w:szCs w:val="30"/>
          <w:lang w:eastAsia="it-IT"/>
        </w:rPr>
        <w:t>categoria A</w:t>
      </w:r>
      <w:r w:rsidRPr="004B4E20">
        <w:rPr>
          <w:rFonts w:ascii="Garamond" w:eastAsia="Times New Roman" w:hAnsi="Garamond" w:cs="Times New Roman"/>
          <w:color w:val="000000"/>
          <w:sz w:val="30"/>
          <w:szCs w:val="30"/>
          <w:lang w:eastAsia="it-IT"/>
        </w:rPr>
        <w:t>” agli attuali soci della società beneficiaria AEB, con un rapporto di n. 725 nuove azioni per ogni vecchia azione ordinaria posseduta, e di n. 400.513.800 azioni di “</w:t>
      </w:r>
      <w:r w:rsidRPr="004B4E20">
        <w:rPr>
          <w:rFonts w:ascii="Garamond" w:eastAsia="Times New Roman" w:hAnsi="Garamond" w:cs="Times New Roman"/>
          <w:i/>
          <w:iCs/>
          <w:color w:val="000000"/>
          <w:sz w:val="30"/>
          <w:szCs w:val="30"/>
          <w:lang w:eastAsia="it-IT"/>
        </w:rPr>
        <w:t>categoria B</w:t>
      </w:r>
      <w:r w:rsidRPr="004B4E20">
        <w:rPr>
          <w:rFonts w:ascii="Garamond" w:eastAsia="Times New Roman" w:hAnsi="Garamond" w:cs="Times New Roman"/>
          <w:color w:val="000000"/>
          <w:sz w:val="30"/>
          <w:szCs w:val="30"/>
          <w:lang w:eastAsia="it-IT"/>
        </w:rPr>
        <w:t xml:space="preserve">” ad A2A, in qualità di socio unico della società scissa </w:t>
      </w:r>
      <w:proofErr w:type="spellStart"/>
      <w:r w:rsidRPr="004B4E20">
        <w:rPr>
          <w:rFonts w:ascii="Garamond" w:eastAsia="Times New Roman" w:hAnsi="Garamond" w:cs="Times New Roman"/>
          <w:color w:val="000000"/>
          <w:sz w:val="30"/>
          <w:szCs w:val="30"/>
          <w:lang w:eastAsia="it-IT"/>
        </w:rPr>
        <w:t>Unareti</w:t>
      </w:r>
      <w:proofErr w:type="spellEnd"/>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e</w:t>
      </w:r>
      <w:r w:rsidRPr="004B4E20">
        <w:rPr>
          <w:rFonts w:ascii="Garamond" w:eastAsia="Times New Roman" w:hAnsi="Garamond" w:cs="Times New Roman"/>
          <w:color w:val="000000"/>
          <w:sz w:val="30"/>
          <w:szCs w:val="30"/>
          <w:lang w:eastAsia="it-IT"/>
        </w:rPr>
        <w:t xml:space="preserve">) raggiungimento dell’assetto finale del Gruppo AEB, con la detenzione, a regime, da parte di AEB, dell’intero capitale sociale di </w:t>
      </w:r>
      <w:proofErr w:type="spellStart"/>
      <w:r w:rsidRPr="004B4E20">
        <w:rPr>
          <w:rFonts w:ascii="Garamond" w:eastAsia="Times New Roman" w:hAnsi="Garamond" w:cs="Times New Roman"/>
          <w:color w:val="000000"/>
          <w:sz w:val="30"/>
          <w:szCs w:val="30"/>
          <w:lang w:eastAsia="it-IT"/>
        </w:rPr>
        <w:t>RetiPiù</w:t>
      </w:r>
      <w:proofErr w:type="spellEnd"/>
      <w:r w:rsidRPr="004B4E20">
        <w:rPr>
          <w:rFonts w:ascii="Garamond" w:eastAsia="Times New Roman" w:hAnsi="Garamond" w:cs="Times New Roman"/>
          <w:color w:val="000000"/>
          <w:sz w:val="30"/>
          <w:szCs w:val="30"/>
          <w:lang w:eastAsia="it-IT"/>
        </w:rPr>
        <w:t xml:space="preserve">, </w:t>
      </w:r>
      <w:proofErr w:type="spellStart"/>
      <w:r w:rsidRPr="004B4E20">
        <w:rPr>
          <w:rFonts w:ascii="Garamond" w:eastAsia="Times New Roman" w:hAnsi="Garamond" w:cs="Times New Roman"/>
          <w:color w:val="000000"/>
          <w:sz w:val="30"/>
          <w:szCs w:val="30"/>
          <w:lang w:eastAsia="it-IT"/>
        </w:rPr>
        <w:t>Gelsia</w:t>
      </w:r>
      <w:proofErr w:type="spellEnd"/>
      <w:r w:rsidRPr="004B4E20">
        <w:rPr>
          <w:rFonts w:ascii="Garamond" w:eastAsia="Times New Roman" w:hAnsi="Garamond" w:cs="Times New Roman"/>
          <w:color w:val="000000"/>
          <w:sz w:val="30"/>
          <w:szCs w:val="30"/>
          <w:lang w:eastAsia="it-IT"/>
        </w:rPr>
        <w:t xml:space="preserve"> e A2AIP e del 70% di </w:t>
      </w:r>
      <w:proofErr w:type="spellStart"/>
      <w:r w:rsidRPr="004B4E20">
        <w:rPr>
          <w:rFonts w:ascii="Garamond" w:eastAsia="Times New Roman" w:hAnsi="Garamond" w:cs="Times New Roman"/>
          <w:color w:val="000000"/>
          <w:sz w:val="30"/>
          <w:szCs w:val="30"/>
          <w:lang w:eastAsia="it-IT"/>
        </w:rPr>
        <w:t>Gelsia</w:t>
      </w:r>
      <w:proofErr w:type="spellEnd"/>
      <w:r w:rsidRPr="004B4E20">
        <w:rPr>
          <w:rFonts w:ascii="Garamond" w:eastAsia="Times New Roman" w:hAnsi="Garamond" w:cs="Times New Roman"/>
          <w:color w:val="000000"/>
          <w:sz w:val="30"/>
          <w:szCs w:val="30"/>
          <w:lang w:eastAsia="it-IT"/>
        </w:rPr>
        <w:t xml:space="preserve"> Ambiente; </w:t>
      </w:r>
      <w:r w:rsidRPr="004B4E20">
        <w:rPr>
          <w:rFonts w:ascii="Garamond" w:eastAsia="Times New Roman" w:hAnsi="Garamond" w:cs="Times New Roman"/>
          <w:i/>
          <w:iCs/>
          <w:color w:val="000000"/>
          <w:sz w:val="30"/>
          <w:szCs w:val="30"/>
          <w:lang w:eastAsia="it-IT"/>
        </w:rPr>
        <w:t>f</w:t>
      </w:r>
      <w:r w:rsidRPr="004B4E20">
        <w:rPr>
          <w:rFonts w:ascii="Garamond" w:eastAsia="Times New Roman" w:hAnsi="Garamond" w:cs="Times New Roman"/>
          <w:color w:val="000000"/>
          <w:sz w:val="30"/>
          <w:szCs w:val="30"/>
          <w:lang w:eastAsia="it-IT"/>
        </w:rPr>
        <w:t>) raggiungimento dell’assetto azionario a regime di AEB, con il 36,4717% del capitale al Comune di Seregno, il 33,5170% ad A2A, il 28,9800% agli altri attuali soci pubblici di AEB, l’1,0312% di azioni proprie.</w:t>
      </w:r>
    </w:p>
    <w:p w14:paraId="237BD05E"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1.4.- Nei riassunti termini il progetto di aggregazione aveva, in definitiva, ad oggetto una vera e propria operazione straordinaria, volta a favorire le prospettive di sviluppo di AEB, mantenendone immutata la vocazione pubblica ed il collegamento con il territorio.</w:t>
      </w:r>
    </w:p>
    <w:p w14:paraId="5FF57D23"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Non si sarebbe, per contro, trattato, in tesi, né di una “</w:t>
      </w:r>
      <w:r w:rsidRPr="004B4E20">
        <w:rPr>
          <w:rFonts w:ascii="Garamond" w:eastAsia="Times New Roman" w:hAnsi="Garamond" w:cs="Times New Roman"/>
          <w:i/>
          <w:iCs/>
          <w:color w:val="000000"/>
          <w:sz w:val="30"/>
          <w:szCs w:val="30"/>
          <w:lang w:eastAsia="it-IT"/>
        </w:rPr>
        <w:t>privatizzazione</w:t>
      </w:r>
      <w:r w:rsidRPr="004B4E20">
        <w:rPr>
          <w:rFonts w:ascii="Garamond" w:eastAsia="Times New Roman" w:hAnsi="Garamond" w:cs="Times New Roman"/>
          <w:color w:val="000000"/>
          <w:sz w:val="30"/>
          <w:szCs w:val="30"/>
          <w:lang w:eastAsia="it-IT"/>
        </w:rPr>
        <w:t>” (non essendo stata prevista la dismissione di quote azionarie da parte dei soci pubblici di AEB), né di una “</w:t>
      </w:r>
      <w:r w:rsidRPr="004B4E20">
        <w:rPr>
          <w:rFonts w:ascii="Garamond" w:eastAsia="Times New Roman" w:hAnsi="Garamond" w:cs="Times New Roman"/>
          <w:i/>
          <w:iCs/>
          <w:color w:val="000000"/>
          <w:sz w:val="30"/>
          <w:szCs w:val="30"/>
          <w:lang w:eastAsia="it-IT"/>
        </w:rPr>
        <w:t>costituzione di una società mista</w:t>
      </w:r>
      <w:r w:rsidRPr="004B4E20">
        <w:rPr>
          <w:rFonts w:ascii="Garamond" w:eastAsia="Times New Roman" w:hAnsi="Garamond" w:cs="Times New Roman"/>
          <w:color w:val="000000"/>
          <w:sz w:val="30"/>
          <w:szCs w:val="30"/>
          <w:lang w:eastAsia="it-IT"/>
        </w:rPr>
        <w:t>”, con assegnazione di un servizio pubblico ad un socio operativo (non essendo stata prevista la possibilità che A2A assumesse un ruolo attivo nell’esecuzione dei servizi di cui erano titolari AEB e le altre società del gruppo).</w:t>
      </w:r>
    </w:p>
    <w:p w14:paraId="67CEA37F"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In particolare, i “</w:t>
      </w:r>
      <w:r w:rsidRPr="004B4E20">
        <w:rPr>
          <w:rFonts w:ascii="Garamond" w:eastAsia="Times New Roman" w:hAnsi="Garamond" w:cs="Times New Roman"/>
          <w:i/>
          <w:iCs/>
          <w:color w:val="000000"/>
          <w:sz w:val="30"/>
          <w:szCs w:val="30"/>
          <w:lang w:eastAsia="it-IT"/>
        </w:rPr>
        <w:t>pilastri della </w:t>
      </w:r>
      <w:r w:rsidRPr="004B4E20">
        <w:rPr>
          <w:rFonts w:ascii="Garamond" w:eastAsia="Times New Roman" w:hAnsi="Garamond" w:cs="Times New Roman"/>
          <w:color w:val="000000"/>
          <w:sz w:val="30"/>
          <w:szCs w:val="30"/>
          <w:lang w:eastAsia="it-IT"/>
        </w:rPr>
        <w:t>partnership” oggetto dell’operazione sarebbero stati, come risultante dalla documentazione a supporto: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xml:space="preserve">) il mantenimento dell’identità </w:t>
      </w:r>
      <w:r w:rsidRPr="004B4E20">
        <w:rPr>
          <w:rFonts w:ascii="Garamond" w:eastAsia="Times New Roman" w:hAnsi="Garamond" w:cs="Times New Roman"/>
          <w:color w:val="000000"/>
          <w:sz w:val="30"/>
          <w:szCs w:val="30"/>
          <w:lang w:eastAsia="it-IT"/>
        </w:rPr>
        <w:lastRenderedPageBreak/>
        <w:t>del Gruppo AEB e del presidio territoriale da parte degli attuali soci pubblici e, in particolare, del Comune di Seregno quale socio di maggioranza relativa;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il mantenimento della maggioranza pubblica del capitale sociale;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un assetto di </w:t>
      </w:r>
      <w:r w:rsidRPr="004B4E20">
        <w:rPr>
          <w:rFonts w:ascii="Garamond" w:eastAsia="Times New Roman" w:hAnsi="Garamond" w:cs="Times New Roman"/>
          <w:i/>
          <w:iCs/>
          <w:color w:val="000000"/>
          <w:sz w:val="30"/>
          <w:szCs w:val="30"/>
          <w:lang w:eastAsia="it-IT"/>
        </w:rPr>
        <w:t>governance</w:t>
      </w:r>
      <w:r w:rsidRPr="004B4E20">
        <w:rPr>
          <w:rFonts w:ascii="Garamond" w:eastAsia="Times New Roman" w:hAnsi="Garamond" w:cs="Times New Roman"/>
          <w:color w:val="000000"/>
          <w:sz w:val="30"/>
          <w:szCs w:val="30"/>
          <w:lang w:eastAsia="it-IT"/>
        </w:rPr>
        <w:t> che prevedesse un ruolo decisivo dei soci pubblici nelle decisioni strategiche e di particolare impatto sul territorio; </w:t>
      </w:r>
      <w:r w:rsidRPr="004B4E20">
        <w:rPr>
          <w:rFonts w:ascii="Garamond" w:eastAsia="Times New Roman" w:hAnsi="Garamond" w:cs="Times New Roman"/>
          <w:i/>
          <w:iCs/>
          <w:color w:val="000000"/>
          <w:sz w:val="30"/>
          <w:szCs w:val="30"/>
          <w:lang w:eastAsia="it-IT"/>
        </w:rPr>
        <w:t>d</w:t>
      </w:r>
      <w:r w:rsidRPr="004B4E20">
        <w:rPr>
          <w:rFonts w:ascii="Garamond" w:eastAsia="Times New Roman" w:hAnsi="Garamond" w:cs="Times New Roman"/>
          <w:color w:val="000000"/>
          <w:sz w:val="30"/>
          <w:szCs w:val="30"/>
          <w:lang w:eastAsia="it-IT"/>
        </w:rPr>
        <w:t>) la salvaguardia dell’occupazione e dell’indotto; </w:t>
      </w:r>
      <w:r w:rsidRPr="004B4E20">
        <w:rPr>
          <w:rFonts w:ascii="Garamond" w:eastAsia="Times New Roman" w:hAnsi="Garamond" w:cs="Times New Roman"/>
          <w:i/>
          <w:iCs/>
          <w:color w:val="000000"/>
          <w:sz w:val="30"/>
          <w:szCs w:val="30"/>
          <w:lang w:eastAsia="it-IT"/>
        </w:rPr>
        <w:t>e</w:t>
      </w:r>
      <w:r w:rsidRPr="004B4E20">
        <w:rPr>
          <w:rFonts w:ascii="Garamond" w:eastAsia="Times New Roman" w:hAnsi="Garamond" w:cs="Times New Roman"/>
          <w:color w:val="000000"/>
          <w:sz w:val="30"/>
          <w:szCs w:val="30"/>
          <w:lang w:eastAsia="it-IT"/>
        </w:rPr>
        <w:t>) l’incremento degli investimenti e dei livelli di servizio nelle attività eseguite dal gruppo nel territorio di riferimento; </w:t>
      </w:r>
      <w:r w:rsidRPr="004B4E20">
        <w:rPr>
          <w:rFonts w:ascii="Garamond" w:eastAsia="Times New Roman" w:hAnsi="Garamond" w:cs="Times New Roman"/>
          <w:i/>
          <w:iCs/>
          <w:color w:val="000000"/>
          <w:sz w:val="30"/>
          <w:szCs w:val="30"/>
          <w:lang w:eastAsia="it-IT"/>
        </w:rPr>
        <w:t>f</w:t>
      </w:r>
      <w:r w:rsidRPr="004B4E20">
        <w:rPr>
          <w:rFonts w:ascii="Garamond" w:eastAsia="Times New Roman" w:hAnsi="Garamond" w:cs="Times New Roman"/>
          <w:color w:val="000000"/>
          <w:sz w:val="30"/>
          <w:szCs w:val="30"/>
          <w:lang w:eastAsia="it-IT"/>
        </w:rPr>
        <w:t>) il sostegno allo sviluppo nei diversi </w:t>
      </w:r>
      <w:r w:rsidRPr="004B4E20">
        <w:rPr>
          <w:rFonts w:ascii="Garamond" w:eastAsia="Times New Roman" w:hAnsi="Garamond" w:cs="Times New Roman"/>
          <w:i/>
          <w:iCs/>
          <w:color w:val="000000"/>
          <w:sz w:val="30"/>
          <w:szCs w:val="30"/>
          <w:lang w:eastAsia="it-IT"/>
        </w:rPr>
        <w:t>business</w:t>
      </w:r>
      <w:r w:rsidRPr="004B4E20">
        <w:rPr>
          <w:rFonts w:ascii="Garamond" w:eastAsia="Times New Roman" w:hAnsi="Garamond" w:cs="Times New Roman"/>
          <w:color w:val="000000"/>
          <w:sz w:val="30"/>
          <w:szCs w:val="30"/>
          <w:lang w:eastAsia="it-IT"/>
        </w:rPr>
        <w:t> e alla crescita per aggregazione con imprese contigue nell’ambito regionale o extraregionale.</w:t>
      </w:r>
    </w:p>
    <w:p w14:paraId="7D631BA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Particolarmente significativo, ai fini del raggiungimento dei riassunti obiettivi, era il conferimento da parte di A2A degli </w:t>
      </w:r>
      <w:r w:rsidRPr="004B4E20">
        <w:rPr>
          <w:rFonts w:ascii="Garamond" w:eastAsia="Times New Roman" w:hAnsi="Garamond" w:cs="Times New Roman"/>
          <w:i/>
          <w:iCs/>
          <w:color w:val="000000"/>
          <w:sz w:val="30"/>
          <w:szCs w:val="30"/>
          <w:lang w:eastAsia="it-IT"/>
        </w:rPr>
        <w:t>asset</w:t>
      </w:r>
      <w:r w:rsidRPr="004B4E20">
        <w:rPr>
          <w:rFonts w:ascii="Garamond" w:eastAsia="Times New Roman" w:hAnsi="Garamond" w:cs="Times New Roman"/>
          <w:color w:val="000000"/>
          <w:sz w:val="30"/>
          <w:szCs w:val="30"/>
          <w:lang w:eastAsia="it-IT"/>
        </w:rPr>
        <w:t> che la stessa aveva ritenuto fondamentali per il proprio rafforzamento industriale e, in particolare: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delle attività e degli impianti gestiti da A2A nella distribuzione del gas naturale nei territori limitrofi a quelli di riferimento del Gruppo AEB, ovvero delle proprie reti site nei territori delle province di Milano e di Bergamo negli ambiti territoriali (ATEM) di MI4, BG1, BG2, BG3 e BG5, per un totale di circa 79 mila punti di riconsegna (PDR);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dell’intero capitale sociale di A2A Illuminazione Pubblica S.p.a., società </w:t>
      </w:r>
      <w:r w:rsidRPr="004B4E20">
        <w:rPr>
          <w:rFonts w:ascii="Garamond" w:eastAsia="Times New Roman" w:hAnsi="Garamond" w:cs="Times New Roman"/>
          <w:i/>
          <w:iCs/>
          <w:color w:val="000000"/>
          <w:sz w:val="30"/>
          <w:szCs w:val="30"/>
          <w:lang w:eastAsia="it-IT"/>
        </w:rPr>
        <w:t>leader</w:t>
      </w:r>
      <w:r w:rsidRPr="004B4E20">
        <w:rPr>
          <w:rFonts w:ascii="Garamond" w:eastAsia="Times New Roman" w:hAnsi="Garamond" w:cs="Times New Roman"/>
          <w:color w:val="000000"/>
          <w:sz w:val="30"/>
          <w:szCs w:val="30"/>
          <w:lang w:eastAsia="it-IT"/>
        </w:rPr>
        <w:t> nelle attività di illuminazione pubblica con in gestione di circa 232 mila punti luce in tutto il Paese.</w:t>
      </w:r>
    </w:p>
    <w:p w14:paraId="5E297BD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Di fatto, grazie alla integrazione di tali </w:t>
      </w:r>
      <w:r w:rsidRPr="004B4E20">
        <w:rPr>
          <w:rFonts w:ascii="Garamond" w:eastAsia="Times New Roman" w:hAnsi="Garamond" w:cs="Times New Roman"/>
          <w:i/>
          <w:iCs/>
          <w:color w:val="000000"/>
          <w:sz w:val="30"/>
          <w:szCs w:val="30"/>
          <w:lang w:eastAsia="it-IT"/>
        </w:rPr>
        <w:t>asset</w:t>
      </w:r>
      <w:r w:rsidRPr="004B4E20">
        <w:rPr>
          <w:rFonts w:ascii="Garamond" w:eastAsia="Times New Roman" w:hAnsi="Garamond" w:cs="Times New Roman"/>
          <w:color w:val="000000"/>
          <w:sz w:val="30"/>
          <w:szCs w:val="30"/>
          <w:lang w:eastAsia="it-IT"/>
        </w:rPr>
        <w:t> conferiti da A2A, AEB avrebbe potuto programmaticamente disporre di </w:t>
      </w:r>
      <w:r w:rsidRPr="004B4E20">
        <w:rPr>
          <w:rFonts w:ascii="Garamond" w:eastAsia="Times New Roman" w:hAnsi="Garamond" w:cs="Times New Roman"/>
          <w:i/>
          <w:iCs/>
          <w:color w:val="000000"/>
          <w:sz w:val="30"/>
          <w:szCs w:val="30"/>
          <w:lang w:eastAsia="it-IT"/>
        </w:rPr>
        <w:t>know-how</w:t>
      </w:r>
      <w:r w:rsidRPr="004B4E20">
        <w:rPr>
          <w:rFonts w:ascii="Garamond" w:eastAsia="Times New Roman" w:hAnsi="Garamond" w:cs="Times New Roman"/>
          <w:color w:val="000000"/>
          <w:sz w:val="30"/>
          <w:szCs w:val="30"/>
          <w:lang w:eastAsia="it-IT"/>
        </w:rPr>
        <w:t>, risorse e sistemi più avanzati sul piano tecnologico, nella gestione dei clienti, nella modernizzazione dell’organizzazione e nella crescita manageriale della società, con conseguente beneficio anche per i suoi soci pubblici e per le collettività da loro rappresentate.</w:t>
      </w:r>
    </w:p>
    <w:p w14:paraId="78809F60"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Ai fini del conseguimento degli obiettivi sopra elencati, le parti elaboravano altresì un piano industriale, nel quale individuavano, oltre ai fondamentali </w:t>
      </w:r>
      <w:proofErr w:type="spellStart"/>
      <w:r w:rsidRPr="004B4E20">
        <w:rPr>
          <w:rFonts w:ascii="Garamond" w:eastAsia="Times New Roman" w:hAnsi="Garamond" w:cs="Times New Roman"/>
          <w:color w:val="000000"/>
          <w:sz w:val="30"/>
          <w:szCs w:val="30"/>
          <w:lang w:eastAsia="it-IT"/>
        </w:rPr>
        <w:t>economico-patrimoniali</w:t>
      </w:r>
      <w:proofErr w:type="spellEnd"/>
      <w:r w:rsidRPr="004B4E20">
        <w:rPr>
          <w:rFonts w:ascii="Garamond" w:eastAsia="Times New Roman" w:hAnsi="Garamond" w:cs="Times New Roman"/>
          <w:color w:val="000000"/>
          <w:sz w:val="30"/>
          <w:szCs w:val="30"/>
          <w:lang w:eastAsia="it-IT"/>
        </w:rPr>
        <w:t xml:space="preserve"> di sviluppo della </w:t>
      </w:r>
      <w:r w:rsidRPr="004B4E20">
        <w:rPr>
          <w:rFonts w:ascii="Garamond" w:eastAsia="Times New Roman" w:hAnsi="Garamond" w:cs="Times New Roman"/>
          <w:i/>
          <w:iCs/>
          <w:color w:val="000000"/>
          <w:sz w:val="30"/>
          <w:szCs w:val="30"/>
          <w:lang w:eastAsia="it-IT"/>
        </w:rPr>
        <w:t>partnership</w:t>
      </w:r>
      <w:r w:rsidRPr="004B4E20">
        <w:rPr>
          <w:rFonts w:ascii="Garamond" w:eastAsia="Times New Roman" w:hAnsi="Garamond" w:cs="Times New Roman"/>
          <w:color w:val="000000"/>
          <w:sz w:val="30"/>
          <w:szCs w:val="30"/>
          <w:lang w:eastAsia="it-IT"/>
        </w:rPr>
        <w:t xml:space="preserve"> risultante dalla integrazione societaria, </w:t>
      </w:r>
      <w:r w:rsidRPr="004B4E20">
        <w:rPr>
          <w:rFonts w:ascii="Garamond" w:eastAsia="Times New Roman" w:hAnsi="Garamond" w:cs="Times New Roman"/>
          <w:color w:val="000000"/>
          <w:sz w:val="30"/>
          <w:szCs w:val="30"/>
          <w:lang w:eastAsia="it-IT"/>
        </w:rPr>
        <w:lastRenderedPageBreak/>
        <w:t>anche le linee guida di investimento (aree, importi, benefici attesi, tempistiche) e interventi da realizzare sui territori di riferimento del Gruppo AEB.</w:t>
      </w:r>
    </w:p>
    <w:p w14:paraId="796F0F85"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Sotto il profilo del previsto mantenimento della “</w:t>
      </w:r>
      <w:r w:rsidRPr="004B4E20">
        <w:rPr>
          <w:rFonts w:ascii="Garamond" w:eastAsia="Times New Roman" w:hAnsi="Garamond" w:cs="Times New Roman"/>
          <w:i/>
          <w:iCs/>
          <w:color w:val="000000"/>
          <w:sz w:val="30"/>
          <w:szCs w:val="30"/>
          <w:lang w:eastAsia="it-IT"/>
        </w:rPr>
        <w:t>vocazione pubblica e territoriale</w:t>
      </w:r>
      <w:r w:rsidRPr="004B4E20">
        <w:rPr>
          <w:rFonts w:ascii="Garamond" w:eastAsia="Times New Roman" w:hAnsi="Garamond" w:cs="Times New Roman"/>
          <w:color w:val="000000"/>
          <w:sz w:val="30"/>
          <w:szCs w:val="30"/>
          <w:lang w:eastAsia="it-IT"/>
        </w:rPr>
        <w:t>” di AEB e delle altre società del gruppo, era poi previsto: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che la nomina dell’amministratore di AEB fosse di competenza di A2A, previa consultazione con il Comune di Seregno;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che il consiglio di amministrazione di AEB fosse composto da n. 10 membri, con rappresentanza paritetica da parte di A2A (n. 5 membri) e dei soci pubblici (n. 5 membri, di cui almeno uno in rappresentanza dei Comuni soci diversi dal Comune di Seregno);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che in numerose materie il consiglio di amministrazione dovesse esprimersi a maggioranza qualificata (di otto componenti su dieci); </w:t>
      </w:r>
      <w:r w:rsidRPr="004B4E20">
        <w:rPr>
          <w:rFonts w:ascii="Garamond" w:eastAsia="Times New Roman" w:hAnsi="Garamond" w:cs="Times New Roman"/>
          <w:i/>
          <w:iCs/>
          <w:color w:val="000000"/>
          <w:sz w:val="30"/>
          <w:szCs w:val="30"/>
          <w:lang w:eastAsia="it-IT"/>
        </w:rPr>
        <w:t>d</w:t>
      </w:r>
      <w:r w:rsidRPr="004B4E20">
        <w:rPr>
          <w:rFonts w:ascii="Garamond" w:eastAsia="Times New Roman" w:hAnsi="Garamond" w:cs="Times New Roman"/>
          <w:color w:val="000000"/>
          <w:sz w:val="30"/>
          <w:szCs w:val="30"/>
          <w:lang w:eastAsia="it-IT"/>
        </w:rPr>
        <w:t>) che il Presidente del consiglio di amministrazione di AEB e delle altre società del Gruppo fosse nominato dal Comune di Seregno, mentre il vice-presidente dagli altri soci pubblici; </w:t>
      </w:r>
      <w:r w:rsidRPr="004B4E20">
        <w:rPr>
          <w:rFonts w:ascii="Garamond" w:eastAsia="Times New Roman" w:hAnsi="Garamond" w:cs="Times New Roman"/>
          <w:i/>
          <w:iCs/>
          <w:color w:val="000000"/>
          <w:sz w:val="30"/>
          <w:szCs w:val="30"/>
          <w:lang w:eastAsia="it-IT"/>
        </w:rPr>
        <w:t>e</w:t>
      </w:r>
      <w:r w:rsidRPr="004B4E20">
        <w:rPr>
          <w:rFonts w:ascii="Garamond" w:eastAsia="Times New Roman" w:hAnsi="Garamond" w:cs="Times New Roman"/>
          <w:color w:val="000000"/>
          <w:sz w:val="30"/>
          <w:szCs w:val="30"/>
          <w:lang w:eastAsia="it-IT"/>
        </w:rPr>
        <w:t>) che l’istituto del cosiddetto </w:t>
      </w:r>
      <w:r w:rsidRPr="004B4E20">
        <w:rPr>
          <w:rFonts w:ascii="Garamond" w:eastAsia="Times New Roman" w:hAnsi="Garamond" w:cs="Times New Roman"/>
          <w:i/>
          <w:iCs/>
          <w:color w:val="000000"/>
          <w:sz w:val="30"/>
          <w:szCs w:val="30"/>
          <w:lang w:eastAsia="it-IT"/>
        </w:rPr>
        <w:t>casting vote</w:t>
      </w:r>
      <w:r w:rsidRPr="004B4E20">
        <w:rPr>
          <w:rFonts w:ascii="Garamond" w:eastAsia="Times New Roman" w:hAnsi="Garamond" w:cs="Times New Roman"/>
          <w:color w:val="000000"/>
          <w:sz w:val="30"/>
          <w:szCs w:val="30"/>
          <w:lang w:eastAsia="it-IT"/>
        </w:rPr>
        <w:t> – in base al quale, in caso di parità di voti in seno al consiglio di amministrazione, la delibera dell’organo amministrativo sarebbe stata assunta in conformità del voto espresso dall’amministratore delegato – non avrebbe trovato applicazione nelle materie da gestire a maggioranza qualificata; </w:t>
      </w:r>
      <w:r w:rsidRPr="004B4E20">
        <w:rPr>
          <w:rFonts w:ascii="Garamond" w:eastAsia="Times New Roman" w:hAnsi="Garamond" w:cs="Times New Roman"/>
          <w:i/>
          <w:iCs/>
          <w:color w:val="000000"/>
          <w:sz w:val="30"/>
          <w:szCs w:val="30"/>
          <w:lang w:eastAsia="it-IT"/>
        </w:rPr>
        <w:t>f</w:t>
      </w:r>
      <w:r w:rsidRPr="004B4E20">
        <w:rPr>
          <w:rFonts w:ascii="Garamond" w:eastAsia="Times New Roman" w:hAnsi="Garamond" w:cs="Times New Roman"/>
          <w:color w:val="000000"/>
          <w:sz w:val="30"/>
          <w:szCs w:val="30"/>
          <w:lang w:eastAsia="it-IT"/>
        </w:rPr>
        <w:t>) che ai soci pubblici competesse la nomina di due membri effettivi su tre del collegio sindacale di AEB e delle altre società del Gruppo; </w:t>
      </w:r>
      <w:r w:rsidRPr="004B4E20">
        <w:rPr>
          <w:rFonts w:ascii="Garamond" w:eastAsia="Times New Roman" w:hAnsi="Garamond" w:cs="Times New Roman"/>
          <w:i/>
          <w:iCs/>
          <w:color w:val="000000"/>
          <w:sz w:val="30"/>
          <w:szCs w:val="30"/>
          <w:lang w:eastAsia="it-IT"/>
        </w:rPr>
        <w:t>g</w:t>
      </w:r>
      <w:r w:rsidRPr="004B4E20">
        <w:rPr>
          <w:rFonts w:ascii="Garamond" w:eastAsia="Times New Roman" w:hAnsi="Garamond" w:cs="Times New Roman"/>
          <w:color w:val="000000"/>
          <w:sz w:val="30"/>
          <w:szCs w:val="30"/>
          <w:lang w:eastAsia="it-IT"/>
        </w:rPr>
        <w:t>) che gli amministratori nominati dai soci pubblici avrebbero nominato, a loro volta, il presidente dell’organismo di vigilanza di AEB e delle società da essa controllate.</w:t>
      </w:r>
    </w:p>
    <w:p w14:paraId="34B36604"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1.5.- L’operazione, così congegnata, veniva approvata con delibera del Consiglio comunale di Seregno n. 17 del 20 aprile 2020, preceduta da ampio dibattito consiliare, previa reiezione: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di due questioni pregiudiziali/sospensive presentate dal Cons. Mariani ai sensi dell’art. 46, co. 1 e dell’art. 12, co. 3 del Regolamento Comunale, che denunciavano il mancato deposito di tutti i documenti – segnatamente della c.d. </w:t>
      </w:r>
      <w:r w:rsidRPr="004B4E20">
        <w:rPr>
          <w:rFonts w:ascii="Garamond" w:eastAsia="Times New Roman" w:hAnsi="Garamond" w:cs="Times New Roman"/>
          <w:i/>
          <w:iCs/>
          <w:color w:val="000000"/>
          <w:sz w:val="30"/>
          <w:szCs w:val="30"/>
          <w:lang w:eastAsia="it-IT"/>
        </w:rPr>
        <w:t>due diligence</w:t>
      </w:r>
      <w:r w:rsidRPr="004B4E20">
        <w:rPr>
          <w:rFonts w:ascii="Garamond" w:eastAsia="Times New Roman" w:hAnsi="Garamond" w:cs="Times New Roman"/>
          <w:color w:val="000000"/>
          <w:sz w:val="30"/>
          <w:szCs w:val="30"/>
          <w:lang w:eastAsia="it-IT"/>
        </w:rPr>
        <w:t xml:space="preserve"> – asseritamente necessari per l’esame della </w:t>
      </w:r>
      <w:r w:rsidRPr="004B4E20">
        <w:rPr>
          <w:rFonts w:ascii="Garamond" w:eastAsia="Times New Roman" w:hAnsi="Garamond" w:cs="Times New Roman"/>
          <w:color w:val="000000"/>
          <w:sz w:val="30"/>
          <w:szCs w:val="30"/>
          <w:lang w:eastAsia="it-IT"/>
        </w:rPr>
        <w:lastRenderedPageBreak/>
        <w:t>proposta;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di otto emendamenti, presentati dal medesimo Cons. Mariani ai sensi dell’art. 45 del Regolamento Comunale, preordinati alla modifica dell’art. 11, commi 2 e 6 dello Statuto, recante disciplina del “</w:t>
      </w:r>
      <w:r w:rsidRPr="004B4E20">
        <w:rPr>
          <w:rFonts w:ascii="Garamond" w:eastAsia="Times New Roman" w:hAnsi="Garamond" w:cs="Times New Roman"/>
          <w:i/>
          <w:iCs/>
          <w:color w:val="000000"/>
          <w:sz w:val="30"/>
          <w:szCs w:val="30"/>
          <w:lang w:eastAsia="it-IT"/>
        </w:rPr>
        <w:t>Trasferimento di azioni e del diritto di prelazione</w:t>
      </w:r>
      <w:r w:rsidRPr="004B4E20">
        <w:rPr>
          <w:rFonts w:ascii="Garamond" w:eastAsia="Times New Roman" w:hAnsi="Garamond" w:cs="Times New Roman"/>
          <w:color w:val="000000"/>
          <w:sz w:val="30"/>
          <w:szCs w:val="30"/>
          <w:lang w:eastAsia="it-IT"/>
        </w:rPr>
        <w:t>”, dell’art. 17, comma 5 e comma 4 lett. </w:t>
      </w:r>
      <w:r w:rsidRPr="004B4E20">
        <w:rPr>
          <w:rFonts w:ascii="Garamond" w:eastAsia="Times New Roman" w:hAnsi="Garamond" w:cs="Times New Roman"/>
          <w:i/>
          <w:iCs/>
          <w:color w:val="000000"/>
          <w:sz w:val="30"/>
          <w:szCs w:val="30"/>
          <w:lang w:eastAsia="it-IT"/>
        </w:rPr>
        <w:t>f</w:t>
      </w:r>
      <w:r w:rsidRPr="004B4E20">
        <w:rPr>
          <w:rFonts w:ascii="Garamond" w:eastAsia="Times New Roman" w:hAnsi="Garamond" w:cs="Times New Roman"/>
          <w:color w:val="000000"/>
          <w:sz w:val="30"/>
          <w:szCs w:val="30"/>
          <w:lang w:eastAsia="it-IT"/>
        </w:rPr>
        <w:t>) dello Statuto, recante disciplina della “</w:t>
      </w:r>
      <w:r w:rsidRPr="004B4E20">
        <w:rPr>
          <w:rFonts w:ascii="Garamond" w:eastAsia="Times New Roman" w:hAnsi="Garamond" w:cs="Times New Roman"/>
          <w:i/>
          <w:iCs/>
          <w:color w:val="000000"/>
          <w:sz w:val="30"/>
          <w:szCs w:val="30"/>
          <w:lang w:eastAsia="it-IT"/>
        </w:rPr>
        <w:t>Costituzione e deliberazioni</w:t>
      </w:r>
      <w:r w:rsidRPr="004B4E20">
        <w:rPr>
          <w:rFonts w:ascii="Garamond" w:eastAsia="Times New Roman" w:hAnsi="Garamond" w:cs="Times New Roman"/>
          <w:color w:val="000000"/>
          <w:sz w:val="30"/>
          <w:szCs w:val="30"/>
          <w:lang w:eastAsia="it-IT"/>
        </w:rPr>
        <w:t>” dell’Assemblea; dell’art. 20 dello Statuto, recante disciplina della “</w:t>
      </w:r>
      <w:r w:rsidRPr="004B4E20">
        <w:rPr>
          <w:rFonts w:ascii="Garamond" w:eastAsia="Times New Roman" w:hAnsi="Garamond" w:cs="Times New Roman"/>
          <w:i/>
          <w:iCs/>
          <w:color w:val="000000"/>
          <w:sz w:val="30"/>
          <w:szCs w:val="30"/>
          <w:lang w:eastAsia="it-IT"/>
        </w:rPr>
        <w:t>Nomina del Consiglio di Amministrazione</w:t>
      </w:r>
      <w:r w:rsidRPr="004B4E20">
        <w:rPr>
          <w:rFonts w:ascii="Garamond" w:eastAsia="Times New Roman" w:hAnsi="Garamond" w:cs="Times New Roman"/>
          <w:color w:val="000000"/>
          <w:sz w:val="30"/>
          <w:szCs w:val="30"/>
          <w:lang w:eastAsia="it-IT"/>
        </w:rPr>
        <w:t>”; dell’art. 22 dello Statuto, recante disciplina dei “</w:t>
      </w:r>
      <w:r w:rsidRPr="004B4E20">
        <w:rPr>
          <w:rFonts w:ascii="Garamond" w:eastAsia="Times New Roman" w:hAnsi="Garamond" w:cs="Times New Roman"/>
          <w:i/>
          <w:iCs/>
          <w:color w:val="000000"/>
          <w:sz w:val="30"/>
          <w:szCs w:val="30"/>
          <w:lang w:eastAsia="it-IT"/>
        </w:rPr>
        <w:t>Poteri del Consiglio di Amministrazione</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di una risoluzione ai sensi dell’art. 53 del Regolamento Comunale, con cui sempre il Cons. Mariani lamentava profili di illegittimità dell’operazione societaria.</w:t>
      </w:r>
    </w:p>
    <w:p w14:paraId="615D754D"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Peraltro, prima di essere sottoposta alla valutazione ed alla approvazione del Consiglio comunale, l’operazione era stata oggetto di un ampio e approfondito esame in numerose sedute della “</w:t>
      </w:r>
      <w:r w:rsidRPr="004B4E20">
        <w:rPr>
          <w:rFonts w:ascii="Garamond" w:eastAsia="Times New Roman" w:hAnsi="Garamond" w:cs="Times New Roman"/>
          <w:i/>
          <w:iCs/>
          <w:color w:val="000000"/>
          <w:sz w:val="30"/>
          <w:szCs w:val="30"/>
          <w:lang w:eastAsia="it-IT"/>
        </w:rPr>
        <w:t>Commissione consiliare permanente, partecipate, lavori pubblici e manutenzione ordinaria, trasparenza e semplificazione</w:t>
      </w:r>
      <w:r w:rsidRPr="004B4E20">
        <w:rPr>
          <w:rFonts w:ascii="Garamond" w:eastAsia="Times New Roman" w:hAnsi="Garamond" w:cs="Times New Roman"/>
          <w:color w:val="000000"/>
          <w:sz w:val="30"/>
          <w:szCs w:val="30"/>
          <w:lang w:eastAsia="it-IT"/>
        </w:rPr>
        <w:t>”, nel corso delle quali era fornita, anche con l’intervento degli esponenti di AEB, una puntuale informativa.</w:t>
      </w:r>
    </w:p>
    <w:p w14:paraId="596A009C"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In particolare: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nella seduta del 26.11.2019, era stata fornita una informativa sulla ricezione della manifestazione di interesse di A2A;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nella seduta del 17.12.2019, erano state esaminate le future linee di indirizzo di sviluppo industriale del Gruppo AEB e si era dato conto dell’avvio dello studio di fattibilità congiunto con A2A;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nella seduta del 31.1.2020 erano state analiticamente esaminate le risultanze dello studio congiunto di fattibilità dell’integrazione societaria tra i due Gruppi, anche con l’illustrazione di </w:t>
      </w:r>
      <w:r w:rsidRPr="004B4E20">
        <w:rPr>
          <w:rFonts w:ascii="Garamond" w:eastAsia="Times New Roman" w:hAnsi="Garamond" w:cs="Times New Roman"/>
          <w:i/>
          <w:iCs/>
          <w:color w:val="000000"/>
          <w:sz w:val="30"/>
          <w:szCs w:val="30"/>
          <w:lang w:eastAsia="it-IT"/>
        </w:rPr>
        <w:t>slides</w:t>
      </w:r>
      <w:r w:rsidRPr="004B4E20">
        <w:rPr>
          <w:rFonts w:ascii="Garamond" w:eastAsia="Times New Roman" w:hAnsi="Garamond" w:cs="Times New Roman"/>
          <w:color w:val="000000"/>
          <w:sz w:val="30"/>
          <w:szCs w:val="30"/>
          <w:lang w:eastAsia="it-IT"/>
        </w:rPr>
        <w:t> che erano state appositamente preparate e distribuite dal Presidente e dal Direttore Generale di AEB, anch’essi presenti alla seduta; </w:t>
      </w:r>
      <w:r w:rsidRPr="004B4E20">
        <w:rPr>
          <w:rFonts w:ascii="Garamond" w:eastAsia="Times New Roman" w:hAnsi="Garamond" w:cs="Times New Roman"/>
          <w:i/>
          <w:iCs/>
          <w:color w:val="000000"/>
          <w:sz w:val="30"/>
          <w:szCs w:val="30"/>
          <w:lang w:eastAsia="it-IT"/>
        </w:rPr>
        <w:t>d</w:t>
      </w:r>
      <w:r w:rsidRPr="004B4E20">
        <w:rPr>
          <w:rFonts w:ascii="Garamond" w:eastAsia="Times New Roman" w:hAnsi="Garamond" w:cs="Times New Roman"/>
          <w:color w:val="000000"/>
          <w:sz w:val="30"/>
          <w:szCs w:val="30"/>
          <w:lang w:eastAsia="it-IT"/>
        </w:rPr>
        <w:t>) nella seduta del 10.4.2020 erano stati ulteriormente approfonditi i principali aspetti dell’operazione, ivi compresi quelli inerenti alla valutazione del rapporto di concambio.</w:t>
      </w:r>
    </w:p>
    <w:p w14:paraId="52A64141"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2.- Con ricorso proposto dinanzi al TAR per la Lombardia, Marco Maria Fumagalli, in qualità di consigliere della Regione Lombardia, il Centro Servizi Termici di </w:t>
      </w:r>
      <w:r w:rsidRPr="004B4E20">
        <w:rPr>
          <w:rFonts w:ascii="Garamond" w:eastAsia="Times New Roman" w:hAnsi="Garamond" w:cs="Times New Roman"/>
          <w:color w:val="000000"/>
          <w:sz w:val="30"/>
          <w:szCs w:val="30"/>
          <w:lang w:eastAsia="it-IT"/>
        </w:rPr>
        <w:lastRenderedPageBreak/>
        <w:t>Calzolari Maurizio e Depositi Carboni Bovisa DE.CA.BO S.r.l. impugnavano la ridetta delibera sul complessivo ed argomentato assunto – affidato ad articolato motivo di gravame – che l’operazione societaria avrebbe dato luogo ad una “</w:t>
      </w:r>
      <w:r w:rsidRPr="004B4E20">
        <w:rPr>
          <w:rFonts w:ascii="Garamond" w:eastAsia="Times New Roman" w:hAnsi="Garamond" w:cs="Times New Roman"/>
          <w:i/>
          <w:iCs/>
          <w:color w:val="000000"/>
          <w:sz w:val="30"/>
          <w:szCs w:val="30"/>
          <w:lang w:eastAsia="it-IT"/>
        </w:rPr>
        <w:t>cessione di quote di AEB (società pubblica) ad A2A (società quotata) senza aver preventivamente effettuato qualsiasi procedura ad evidenza pubblica fra gli operatori economici del mercato</w:t>
      </w:r>
      <w:r w:rsidRPr="004B4E20">
        <w:rPr>
          <w:rFonts w:ascii="Garamond" w:eastAsia="Times New Roman" w:hAnsi="Garamond" w:cs="Times New Roman"/>
          <w:color w:val="000000"/>
          <w:sz w:val="30"/>
          <w:szCs w:val="30"/>
          <w:lang w:eastAsia="it-IT"/>
        </w:rPr>
        <w:t>” ed avrebbe “</w:t>
      </w:r>
      <w:r w:rsidRPr="004B4E20">
        <w:rPr>
          <w:rFonts w:ascii="Garamond" w:eastAsia="Times New Roman" w:hAnsi="Garamond" w:cs="Times New Roman"/>
          <w:i/>
          <w:iCs/>
          <w:color w:val="000000"/>
          <w:sz w:val="30"/>
          <w:szCs w:val="30"/>
          <w:lang w:eastAsia="it-IT"/>
        </w:rPr>
        <w:t>autorizzato l’Operazione di cessione di quote della società multiutility pubblica AEB </w:t>
      </w:r>
      <w:r w:rsidRPr="004B4E20">
        <w:rPr>
          <w:rFonts w:ascii="Garamond" w:eastAsia="Times New Roman" w:hAnsi="Garamond" w:cs="Times New Roman"/>
          <w:color w:val="000000"/>
          <w:sz w:val="30"/>
          <w:szCs w:val="30"/>
          <w:lang w:eastAsia="it-IT"/>
        </w:rPr>
        <w:t>[in via] </w:t>
      </w:r>
      <w:r w:rsidRPr="004B4E20">
        <w:rPr>
          <w:rFonts w:ascii="Garamond" w:eastAsia="Times New Roman" w:hAnsi="Garamond" w:cs="Times New Roman"/>
          <w:i/>
          <w:iCs/>
          <w:color w:val="000000"/>
          <w:sz w:val="30"/>
          <w:szCs w:val="30"/>
          <w:lang w:eastAsia="it-IT"/>
        </w:rPr>
        <w:t>illegittima perché</w:t>
      </w:r>
      <w:r w:rsidRPr="004B4E20">
        <w:rPr>
          <w:rFonts w:ascii="Garamond" w:eastAsia="Times New Roman" w:hAnsi="Garamond" w:cs="Times New Roman"/>
          <w:color w:val="000000"/>
          <w:sz w:val="30"/>
          <w:szCs w:val="30"/>
          <w:lang w:eastAsia="it-IT"/>
        </w:rPr>
        <w:t> [avrebbe] </w:t>
      </w:r>
      <w:r w:rsidRPr="004B4E20">
        <w:rPr>
          <w:rFonts w:ascii="Garamond" w:eastAsia="Times New Roman" w:hAnsi="Garamond" w:cs="Times New Roman"/>
          <w:i/>
          <w:iCs/>
          <w:color w:val="000000"/>
          <w:sz w:val="30"/>
          <w:szCs w:val="30"/>
          <w:lang w:eastAsia="it-IT"/>
        </w:rPr>
        <w:t>approva</w:t>
      </w:r>
      <w:r w:rsidRPr="004B4E20">
        <w:rPr>
          <w:rFonts w:ascii="Garamond" w:eastAsia="Times New Roman" w:hAnsi="Garamond" w:cs="Times New Roman"/>
          <w:color w:val="000000"/>
          <w:sz w:val="30"/>
          <w:szCs w:val="30"/>
          <w:lang w:eastAsia="it-IT"/>
        </w:rPr>
        <w:t>[to] </w:t>
      </w:r>
      <w:r w:rsidRPr="004B4E20">
        <w:rPr>
          <w:rFonts w:ascii="Garamond" w:eastAsia="Times New Roman" w:hAnsi="Garamond" w:cs="Times New Roman"/>
          <w:i/>
          <w:iCs/>
          <w:color w:val="000000"/>
          <w:sz w:val="30"/>
          <w:szCs w:val="30"/>
          <w:lang w:eastAsia="it-IT"/>
        </w:rPr>
        <w:t>un percorso giuridico che</w:t>
      </w:r>
      <w:r w:rsidRPr="004B4E20">
        <w:rPr>
          <w:rFonts w:ascii="Garamond" w:eastAsia="Times New Roman" w:hAnsi="Garamond" w:cs="Times New Roman"/>
          <w:color w:val="000000"/>
          <w:sz w:val="30"/>
          <w:szCs w:val="30"/>
          <w:lang w:eastAsia="it-IT"/>
        </w:rPr>
        <w:t> [avrebbe portato] </w:t>
      </w:r>
      <w:r w:rsidRPr="004B4E20">
        <w:rPr>
          <w:rFonts w:ascii="Garamond" w:eastAsia="Times New Roman" w:hAnsi="Garamond" w:cs="Times New Roman"/>
          <w:i/>
          <w:iCs/>
          <w:color w:val="000000"/>
          <w:sz w:val="30"/>
          <w:szCs w:val="30"/>
          <w:lang w:eastAsia="it-IT"/>
        </w:rPr>
        <w:t>alla vendita mediante scissione del capitale sociale maggioritario senza il preventivo esperimento di procedura ad evidenza pubblica</w:t>
      </w:r>
      <w:r w:rsidRPr="004B4E20">
        <w:rPr>
          <w:rFonts w:ascii="Garamond" w:eastAsia="Times New Roman" w:hAnsi="Garamond" w:cs="Times New Roman"/>
          <w:color w:val="000000"/>
          <w:sz w:val="30"/>
          <w:szCs w:val="30"/>
          <w:lang w:eastAsia="it-IT"/>
        </w:rPr>
        <w:t>”.</w:t>
      </w:r>
    </w:p>
    <w:p w14:paraId="4F22399F"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Lamentavano, con ciò, violazione dell’art. 113, comma 12 del d.lgs. n. 267/2000, dell’art. 3 del </w:t>
      </w:r>
      <w:proofErr w:type="spellStart"/>
      <w:r w:rsidRPr="004B4E20">
        <w:rPr>
          <w:rFonts w:ascii="Garamond" w:eastAsia="Times New Roman" w:hAnsi="Garamond" w:cs="Times New Roman"/>
          <w:color w:val="000000"/>
          <w:sz w:val="30"/>
          <w:szCs w:val="30"/>
          <w:lang w:eastAsia="it-IT"/>
        </w:rPr>
        <w:t>r.d.</w:t>
      </w:r>
      <w:proofErr w:type="spellEnd"/>
      <w:r w:rsidRPr="004B4E20">
        <w:rPr>
          <w:rFonts w:ascii="Garamond" w:eastAsia="Times New Roman" w:hAnsi="Garamond" w:cs="Times New Roman"/>
          <w:color w:val="000000"/>
          <w:sz w:val="30"/>
          <w:szCs w:val="30"/>
          <w:lang w:eastAsia="it-IT"/>
        </w:rPr>
        <w:t xml:space="preserve"> n. 2440/1923, dell’art. 1 comma 568 </w:t>
      </w:r>
      <w:r w:rsidRPr="004B4E20">
        <w:rPr>
          <w:rFonts w:ascii="Garamond" w:eastAsia="Times New Roman" w:hAnsi="Garamond" w:cs="Times New Roman"/>
          <w:i/>
          <w:iCs/>
          <w:color w:val="000000"/>
          <w:sz w:val="30"/>
          <w:szCs w:val="30"/>
          <w:lang w:eastAsia="it-IT"/>
        </w:rPr>
        <w:t>bis</w:t>
      </w:r>
      <w:r w:rsidRPr="004B4E20">
        <w:rPr>
          <w:rFonts w:ascii="Garamond" w:eastAsia="Times New Roman" w:hAnsi="Garamond" w:cs="Times New Roman"/>
          <w:color w:val="000000"/>
          <w:sz w:val="30"/>
          <w:szCs w:val="30"/>
          <w:lang w:eastAsia="it-IT"/>
        </w:rPr>
        <w:t xml:space="preserve"> della legge n. 147/2013, dell’art. 37 del </w:t>
      </w:r>
      <w:proofErr w:type="spellStart"/>
      <w:r w:rsidRPr="004B4E20">
        <w:rPr>
          <w:rFonts w:ascii="Garamond" w:eastAsia="Times New Roman" w:hAnsi="Garamond" w:cs="Times New Roman"/>
          <w:color w:val="000000"/>
          <w:sz w:val="30"/>
          <w:szCs w:val="30"/>
          <w:lang w:eastAsia="it-IT"/>
        </w:rPr>
        <w:t>r.d.</w:t>
      </w:r>
      <w:proofErr w:type="spellEnd"/>
      <w:r w:rsidRPr="004B4E20">
        <w:rPr>
          <w:rFonts w:ascii="Garamond" w:eastAsia="Times New Roman" w:hAnsi="Garamond" w:cs="Times New Roman"/>
          <w:color w:val="000000"/>
          <w:sz w:val="30"/>
          <w:szCs w:val="30"/>
          <w:lang w:eastAsia="it-IT"/>
        </w:rPr>
        <w:t xml:space="preserve"> n. 827/1924, nonché dell’art. 5, comma 9 del d.lgs. n. 50/2016, in combinato disposto con l’art. 17, comma 1 del d.lgs. n. 175/2016.</w:t>
      </w:r>
    </w:p>
    <w:p w14:paraId="6F096EE3"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Con distinto motivo, lamentavano altresì sviamento di potere, sull’assunto che, con la impugnata delibera, si sarebbe mirato a sottrarre la </w:t>
      </w:r>
      <w:r w:rsidRPr="004B4E20">
        <w:rPr>
          <w:rFonts w:ascii="Garamond" w:eastAsia="Times New Roman" w:hAnsi="Garamond" w:cs="Times New Roman"/>
          <w:i/>
          <w:iCs/>
          <w:color w:val="000000"/>
          <w:sz w:val="30"/>
          <w:szCs w:val="30"/>
          <w:lang w:eastAsia="it-IT"/>
        </w:rPr>
        <w:t>newco </w:t>
      </w:r>
      <w:r w:rsidRPr="004B4E20">
        <w:rPr>
          <w:rFonts w:ascii="Garamond" w:eastAsia="Times New Roman" w:hAnsi="Garamond" w:cs="Times New Roman"/>
          <w:color w:val="000000"/>
          <w:sz w:val="30"/>
          <w:szCs w:val="30"/>
          <w:lang w:eastAsia="it-IT"/>
        </w:rPr>
        <w:t>A2A Illuminazione Pubblica S.p.a. alla disciplina del d.lgs. 175/2016, del TUEL e del Codice dei Contratti pubblici, “</w:t>
      </w:r>
      <w:r w:rsidRPr="004B4E20">
        <w:rPr>
          <w:rFonts w:ascii="Garamond" w:eastAsia="Times New Roman" w:hAnsi="Garamond" w:cs="Times New Roman"/>
          <w:i/>
          <w:iCs/>
          <w:color w:val="000000"/>
          <w:sz w:val="30"/>
          <w:szCs w:val="30"/>
          <w:lang w:eastAsia="it-IT"/>
        </w:rPr>
        <w:t>con la simulazione di una cosiddetta integrazione, che in realtà altro non</w:t>
      </w:r>
      <w:r w:rsidRPr="004B4E20">
        <w:rPr>
          <w:rFonts w:ascii="Garamond" w:eastAsia="Times New Roman" w:hAnsi="Garamond" w:cs="Times New Roman"/>
          <w:color w:val="000000"/>
          <w:sz w:val="30"/>
          <w:szCs w:val="30"/>
          <w:lang w:eastAsia="it-IT"/>
        </w:rPr>
        <w:t> [sarebbe stata] </w:t>
      </w:r>
      <w:r w:rsidRPr="004B4E20">
        <w:rPr>
          <w:rFonts w:ascii="Garamond" w:eastAsia="Times New Roman" w:hAnsi="Garamond" w:cs="Times New Roman"/>
          <w:i/>
          <w:iCs/>
          <w:color w:val="000000"/>
          <w:sz w:val="30"/>
          <w:szCs w:val="30"/>
          <w:lang w:eastAsia="it-IT"/>
        </w:rPr>
        <w:t>che la trasformazione di AEB da società pubblica a società privata con successivo passaggio al privato e al controllo di un solo privato (A2A) della gestione dei servizi pubblici affidati senza gara</w:t>
      </w:r>
      <w:r w:rsidRPr="004B4E20">
        <w:rPr>
          <w:rFonts w:ascii="Garamond" w:eastAsia="Times New Roman" w:hAnsi="Garamond" w:cs="Times New Roman"/>
          <w:color w:val="000000"/>
          <w:sz w:val="30"/>
          <w:szCs w:val="30"/>
          <w:lang w:eastAsia="it-IT"/>
        </w:rPr>
        <w:t>”.</w:t>
      </w:r>
    </w:p>
    <w:p w14:paraId="57EFEA68"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3.- Nel rituale contraddittorio delle parti, con sentenza n. 412/2021 il TAR adito accoglieva il ricorso.</w:t>
      </w:r>
    </w:p>
    <w:p w14:paraId="2A008002"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In particolare, il primo giudice:</w:t>
      </w:r>
    </w:p>
    <w:p w14:paraId="703B999A"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in rito ed in via preliminare, accoglieva “</w:t>
      </w:r>
      <w:r w:rsidRPr="004B4E20">
        <w:rPr>
          <w:rFonts w:ascii="Garamond" w:eastAsia="Times New Roman" w:hAnsi="Garamond" w:cs="Times New Roman"/>
          <w:i/>
          <w:iCs/>
          <w:color w:val="000000"/>
          <w:sz w:val="30"/>
          <w:szCs w:val="30"/>
          <w:lang w:eastAsia="it-IT"/>
        </w:rPr>
        <w:t>l’eccezione relativa alla carenza di legittimazione a ricorrere del consigliere regionale Marco Maria Fumagalli</w:t>
      </w:r>
      <w:r w:rsidRPr="004B4E20">
        <w:rPr>
          <w:rFonts w:ascii="Garamond" w:eastAsia="Times New Roman" w:hAnsi="Garamond" w:cs="Times New Roman"/>
          <w:color w:val="000000"/>
          <w:sz w:val="30"/>
          <w:szCs w:val="30"/>
          <w:lang w:eastAsia="it-IT"/>
        </w:rPr>
        <w:t>”, ma respingeva “</w:t>
      </w:r>
      <w:r w:rsidRPr="004B4E20">
        <w:rPr>
          <w:rFonts w:ascii="Garamond" w:eastAsia="Times New Roman" w:hAnsi="Garamond" w:cs="Times New Roman"/>
          <w:i/>
          <w:iCs/>
          <w:color w:val="000000"/>
          <w:sz w:val="30"/>
          <w:szCs w:val="30"/>
          <w:lang w:eastAsia="it-IT"/>
        </w:rPr>
        <w:t>l’eccezione di inammissibilità del ricorso collettivo</w:t>
      </w:r>
      <w:r w:rsidRPr="004B4E20">
        <w:rPr>
          <w:rFonts w:ascii="Garamond" w:eastAsia="Times New Roman" w:hAnsi="Garamond" w:cs="Times New Roman"/>
          <w:color w:val="000000"/>
          <w:sz w:val="30"/>
          <w:szCs w:val="30"/>
          <w:lang w:eastAsia="it-IT"/>
        </w:rPr>
        <w:t>”, sull’assunto che quest’ultimo, “</w:t>
      </w:r>
      <w:r w:rsidRPr="004B4E20">
        <w:rPr>
          <w:rFonts w:ascii="Garamond" w:eastAsia="Times New Roman" w:hAnsi="Garamond" w:cs="Times New Roman"/>
          <w:i/>
          <w:iCs/>
          <w:color w:val="000000"/>
          <w:sz w:val="30"/>
          <w:szCs w:val="30"/>
          <w:lang w:eastAsia="it-IT"/>
        </w:rPr>
        <w:t>in seguito alla declaratoria di carenza di legittimazione del ricorrente Fumagalli,</w:t>
      </w:r>
      <w:r w:rsidRPr="004B4E20">
        <w:rPr>
          <w:rFonts w:ascii="Garamond" w:eastAsia="Times New Roman" w:hAnsi="Garamond" w:cs="Times New Roman"/>
          <w:color w:val="000000"/>
          <w:sz w:val="30"/>
          <w:szCs w:val="30"/>
          <w:lang w:eastAsia="it-IT"/>
        </w:rPr>
        <w:t> [dovesse] </w:t>
      </w:r>
      <w:r w:rsidRPr="004B4E20">
        <w:rPr>
          <w:rFonts w:ascii="Garamond" w:eastAsia="Times New Roman" w:hAnsi="Garamond" w:cs="Times New Roman"/>
          <w:i/>
          <w:iCs/>
          <w:color w:val="000000"/>
          <w:sz w:val="30"/>
          <w:szCs w:val="30"/>
          <w:lang w:eastAsia="it-IT"/>
        </w:rPr>
        <w:t xml:space="preserve">ritenersi validamente </w:t>
      </w:r>
      <w:r w:rsidRPr="004B4E20">
        <w:rPr>
          <w:rFonts w:ascii="Garamond" w:eastAsia="Times New Roman" w:hAnsi="Garamond" w:cs="Times New Roman"/>
          <w:i/>
          <w:iCs/>
          <w:color w:val="000000"/>
          <w:sz w:val="30"/>
          <w:szCs w:val="30"/>
          <w:lang w:eastAsia="it-IT"/>
        </w:rPr>
        <w:lastRenderedPageBreak/>
        <w:t xml:space="preserve">proposto dall’impresa individuale C.s.t. - Centro servizi termici di Calzolari Maurizio e dalla società Depositi Carboni Bovisa - </w:t>
      </w:r>
      <w:proofErr w:type="spellStart"/>
      <w:r w:rsidRPr="004B4E20">
        <w:rPr>
          <w:rFonts w:ascii="Garamond" w:eastAsia="Times New Roman" w:hAnsi="Garamond" w:cs="Times New Roman"/>
          <w:i/>
          <w:iCs/>
          <w:color w:val="000000"/>
          <w:sz w:val="30"/>
          <w:szCs w:val="30"/>
          <w:lang w:eastAsia="it-IT"/>
        </w:rPr>
        <w:t>De.Ca.Bo</w:t>
      </w:r>
      <w:proofErr w:type="spellEnd"/>
      <w:r w:rsidRPr="004B4E20">
        <w:rPr>
          <w:rFonts w:ascii="Garamond" w:eastAsia="Times New Roman" w:hAnsi="Garamond" w:cs="Times New Roman"/>
          <w:i/>
          <w:iCs/>
          <w:color w:val="000000"/>
          <w:sz w:val="30"/>
          <w:szCs w:val="30"/>
          <w:lang w:eastAsia="it-IT"/>
        </w:rPr>
        <w:t>. a r.l., entrambe operanti nel settore della distribuzione del gas</w:t>
      </w:r>
      <w:r w:rsidRPr="004B4E20">
        <w:rPr>
          <w:rFonts w:ascii="Garamond" w:eastAsia="Times New Roman" w:hAnsi="Garamond" w:cs="Times New Roman"/>
          <w:color w:val="000000"/>
          <w:sz w:val="30"/>
          <w:szCs w:val="30"/>
          <w:lang w:eastAsia="it-IT"/>
        </w:rPr>
        <w:t>”;</w:t>
      </w:r>
    </w:p>
    <w:p w14:paraId="398090B9"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sempre in rito, riteneva le due imprese ricorrenti legittimate e interessate all’annullamento della delibera, sull’assunto che “</w:t>
      </w:r>
      <w:r w:rsidRPr="004B4E20">
        <w:rPr>
          <w:rFonts w:ascii="Garamond" w:eastAsia="Times New Roman" w:hAnsi="Garamond" w:cs="Times New Roman"/>
          <w:i/>
          <w:iCs/>
          <w:color w:val="000000"/>
          <w:sz w:val="30"/>
          <w:szCs w:val="30"/>
          <w:lang w:eastAsia="it-IT"/>
        </w:rPr>
        <w:t>dalle visure camerali prodotte in atti, risulta</w:t>
      </w:r>
      <w:r w:rsidRPr="004B4E20">
        <w:rPr>
          <w:rFonts w:ascii="Garamond" w:eastAsia="Times New Roman" w:hAnsi="Garamond" w:cs="Times New Roman"/>
          <w:color w:val="000000"/>
          <w:sz w:val="30"/>
          <w:szCs w:val="30"/>
          <w:lang w:eastAsia="it-IT"/>
        </w:rPr>
        <w:t>[va] </w:t>
      </w:r>
      <w:r w:rsidRPr="004B4E20">
        <w:rPr>
          <w:rFonts w:ascii="Garamond" w:eastAsia="Times New Roman" w:hAnsi="Garamond" w:cs="Times New Roman"/>
          <w:i/>
          <w:iCs/>
          <w:color w:val="000000"/>
          <w:sz w:val="30"/>
          <w:szCs w:val="30"/>
          <w:lang w:eastAsia="it-IT"/>
        </w:rPr>
        <w:t>che la C.s.t. – Centro servizi termici di Calzolari Maurizio opera</w:t>
      </w:r>
      <w:r w:rsidRPr="004B4E20">
        <w:rPr>
          <w:rFonts w:ascii="Garamond" w:eastAsia="Times New Roman" w:hAnsi="Garamond" w:cs="Times New Roman"/>
          <w:color w:val="000000"/>
          <w:sz w:val="30"/>
          <w:szCs w:val="30"/>
          <w:lang w:eastAsia="it-IT"/>
        </w:rPr>
        <w:t>[va] </w:t>
      </w:r>
      <w:r w:rsidRPr="004B4E20">
        <w:rPr>
          <w:rFonts w:ascii="Garamond" w:eastAsia="Times New Roman" w:hAnsi="Garamond" w:cs="Times New Roman"/>
          <w:i/>
          <w:iCs/>
          <w:color w:val="000000"/>
          <w:sz w:val="30"/>
          <w:szCs w:val="30"/>
          <w:lang w:eastAsia="it-IT"/>
        </w:rPr>
        <w:t xml:space="preserve">nel ramo della installazione, manutenzione e riparazione degli impianti idraulici, di riscaldamento e condizionamento dell’aria mentre la </w:t>
      </w:r>
      <w:proofErr w:type="spellStart"/>
      <w:r w:rsidRPr="004B4E20">
        <w:rPr>
          <w:rFonts w:ascii="Garamond" w:eastAsia="Times New Roman" w:hAnsi="Garamond" w:cs="Times New Roman"/>
          <w:i/>
          <w:iCs/>
          <w:color w:val="000000"/>
          <w:sz w:val="30"/>
          <w:szCs w:val="30"/>
          <w:lang w:eastAsia="it-IT"/>
        </w:rPr>
        <w:t>De.Ca.Bo</w:t>
      </w:r>
      <w:proofErr w:type="spellEnd"/>
      <w:r w:rsidRPr="004B4E20">
        <w:rPr>
          <w:rFonts w:ascii="Garamond" w:eastAsia="Times New Roman" w:hAnsi="Garamond" w:cs="Times New Roman"/>
          <w:i/>
          <w:iCs/>
          <w:color w:val="000000"/>
          <w:sz w:val="30"/>
          <w:szCs w:val="30"/>
          <w:lang w:eastAsia="it-IT"/>
        </w:rPr>
        <w:t>. s.r.l. opera</w:t>
      </w:r>
      <w:r w:rsidRPr="004B4E20">
        <w:rPr>
          <w:rFonts w:ascii="Garamond" w:eastAsia="Times New Roman" w:hAnsi="Garamond" w:cs="Times New Roman"/>
          <w:color w:val="000000"/>
          <w:sz w:val="30"/>
          <w:szCs w:val="30"/>
          <w:lang w:eastAsia="it-IT"/>
        </w:rPr>
        <w:t>[va] </w:t>
      </w:r>
      <w:r w:rsidRPr="004B4E20">
        <w:rPr>
          <w:rFonts w:ascii="Garamond" w:eastAsia="Times New Roman" w:hAnsi="Garamond" w:cs="Times New Roman"/>
          <w:i/>
          <w:iCs/>
          <w:color w:val="000000"/>
          <w:sz w:val="30"/>
          <w:szCs w:val="30"/>
          <w:lang w:eastAsia="it-IT"/>
        </w:rPr>
        <w:t>nel settore del commercio di combustibili, tutti segmenti ricompresi nel servizio della distribuzione del gas naturale,</w:t>
      </w:r>
      <w:r w:rsidRPr="004B4E20">
        <w:rPr>
          <w:rFonts w:ascii="Garamond" w:eastAsia="Times New Roman" w:hAnsi="Garamond" w:cs="Times New Roman"/>
          <w:color w:val="000000"/>
          <w:sz w:val="30"/>
          <w:szCs w:val="30"/>
          <w:lang w:eastAsia="it-IT"/>
        </w:rPr>
        <w:t> [essendo] </w:t>
      </w:r>
      <w:r w:rsidRPr="004B4E20">
        <w:rPr>
          <w:rFonts w:ascii="Garamond" w:eastAsia="Times New Roman" w:hAnsi="Garamond" w:cs="Times New Roman"/>
          <w:i/>
          <w:iCs/>
          <w:color w:val="000000"/>
          <w:sz w:val="30"/>
          <w:szCs w:val="30"/>
          <w:lang w:eastAsia="it-IT"/>
        </w:rPr>
        <w:t>questo</w:t>
      </w:r>
      <w:r w:rsidRPr="004B4E20">
        <w:rPr>
          <w:rFonts w:ascii="Garamond" w:eastAsia="Times New Roman" w:hAnsi="Garamond" w:cs="Times New Roman"/>
          <w:color w:val="000000"/>
          <w:sz w:val="30"/>
          <w:szCs w:val="30"/>
          <w:lang w:eastAsia="it-IT"/>
        </w:rPr>
        <w:t> […] </w:t>
      </w:r>
      <w:r w:rsidRPr="004B4E20">
        <w:rPr>
          <w:rFonts w:ascii="Garamond" w:eastAsia="Times New Roman" w:hAnsi="Garamond" w:cs="Times New Roman"/>
          <w:i/>
          <w:iCs/>
          <w:color w:val="000000"/>
          <w:sz w:val="30"/>
          <w:szCs w:val="30"/>
          <w:lang w:eastAsia="it-IT"/>
        </w:rPr>
        <w:t>sufficiente a giustificarne la legittimazione ad agire</w:t>
      </w:r>
      <w:r w:rsidRPr="004B4E20">
        <w:rPr>
          <w:rFonts w:ascii="Garamond" w:eastAsia="Times New Roman" w:hAnsi="Garamond" w:cs="Times New Roman"/>
          <w:color w:val="000000"/>
          <w:sz w:val="30"/>
          <w:szCs w:val="30"/>
          <w:lang w:eastAsia="it-IT"/>
        </w:rPr>
        <w:t>”;</w:t>
      </w:r>
    </w:p>
    <w:p w14:paraId="143CD2B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nel merito, riteneva violati gli artt. 10 e 17 del d.lgs. n. 175/2016, sull’assunto che “</w:t>
      </w:r>
      <w:r w:rsidRPr="004B4E20">
        <w:rPr>
          <w:rFonts w:ascii="Garamond" w:eastAsia="Times New Roman" w:hAnsi="Garamond" w:cs="Times New Roman"/>
          <w:i/>
          <w:iCs/>
          <w:color w:val="000000"/>
          <w:sz w:val="30"/>
          <w:szCs w:val="30"/>
          <w:lang w:eastAsia="it-IT"/>
        </w:rPr>
        <w:t>pur non essendosi verificata una cessione di partecipazioni a fronte di una somma di denaro,</w:t>
      </w:r>
      <w:r w:rsidRPr="004B4E20">
        <w:rPr>
          <w:rFonts w:ascii="Garamond" w:eastAsia="Times New Roman" w:hAnsi="Garamond" w:cs="Times New Roman"/>
          <w:color w:val="000000"/>
          <w:sz w:val="30"/>
          <w:szCs w:val="30"/>
          <w:lang w:eastAsia="it-IT"/>
        </w:rPr>
        <w:t> [era] </w:t>
      </w:r>
      <w:r w:rsidRPr="004B4E20">
        <w:rPr>
          <w:rFonts w:ascii="Garamond" w:eastAsia="Times New Roman" w:hAnsi="Garamond" w:cs="Times New Roman"/>
          <w:i/>
          <w:iCs/>
          <w:color w:val="000000"/>
          <w:sz w:val="30"/>
          <w:szCs w:val="30"/>
          <w:lang w:eastAsia="it-IT"/>
        </w:rPr>
        <w:t>stato comunque corrisposto dalla A.E.B. s.p.a. alla A2a s.p.a. il corrispettivo per il bene conferito in natura, il quale</w:t>
      </w:r>
      <w:r w:rsidRPr="004B4E20">
        <w:rPr>
          <w:rFonts w:ascii="Garamond" w:eastAsia="Times New Roman" w:hAnsi="Garamond" w:cs="Times New Roman"/>
          <w:color w:val="000000"/>
          <w:sz w:val="30"/>
          <w:szCs w:val="30"/>
          <w:lang w:eastAsia="it-IT"/>
        </w:rPr>
        <w:t> [aveva] </w:t>
      </w:r>
      <w:r w:rsidRPr="004B4E20">
        <w:rPr>
          <w:rFonts w:ascii="Garamond" w:eastAsia="Times New Roman" w:hAnsi="Garamond" w:cs="Times New Roman"/>
          <w:i/>
          <w:iCs/>
          <w:color w:val="000000"/>
          <w:sz w:val="30"/>
          <w:szCs w:val="30"/>
          <w:lang w:eastAsia="it-IT"/>
        </w:rPr>
        <w:t>determinato un aumento del capitale sociale, la sua suddivisione in diverse categorie di azioni e la rideterminazione del valore delle stesse in base ad un valore di cambio</w:t>
      </w:r>
      <w:r w:rsidRPr="004B4E20">
        <w:rPr>
          <w:rFonts w:ascii="Garamond" w:eastAsia="Times New Roman" w:hAnsi="Garamond" w:cs="Times New Roman"/>
          <w:color w:val="000000"/>
          <w:sz w:val="30"/>
          <w:szCs w:val="30"/>
          <w:lang w:eastAsia="it-IT"/>
        </w:rPr>
        <w:t>”, donde la ritenuta elusione delle regole di evidenza pubblica.</w:t>
      </w:r>
    </w:p>
    <w:p w14:paraId="7C6C7139"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4.- Con distinti atti di appello, tutti notificati nei tempi e nelle forme di rito, avverso la ridetta statuizione insorgevano Ambiente Energia Brianza S.p.a., il Comune di Seregno e A2A S.p.a., lamentandone la complessiva erroneità ed ingiustizia ed auspicandone l’integrale riforma.</w:t>
      </w:r>
    </w:p>
    <w:p w14:paraId="67408121"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Alla pubblica udienza del 1° luglio 2021, le cause – chiamate e trattate congiuntamente, ai fini di una definizione unitaria – venivano riservate per la decisione.</w:t>
      </w:r>
    </w:p>
    <w:p w14:paraId="30A6BEB5" w14:textId="77777777" w:rsidR="004B4E20" w:rsidRPr="004B4E20" w:rsidRDefault="004B4E20" w:rsidP="004B4E20">
      <w:pPr>
        <w:spacing w:after="0" w:line="540" w:lineRule="atLeast"/>
        <w:jc w:val="center"/>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DIRITTO</w:t>
      </w:r>
    </w:p>
    <w:p w14:paraId="07EEF8EE"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1.- Gli appelli, di cui occorre in via preliminare disporre la riunione in quanto proposti avverso la medesima sentenza (art. 96, comma 1 cod. proc. </w:t>
      </w:r>
      <w:proofErr w:type="spellStart"/>
      <w:r w:rsidRPr="004B4E20">
        <w:rPr>
          <w:rFonts w:ascii="Garamond" w:eastAsia="Times New Roman" w:hAnsi="Garamond" w:cs="Times New Roman"/>
          <w:color w:val="000000"/>
          <w:sz w:val="30"/>
          <w:szCs w:val="30"/>
          <w:lang w:eastAsia="it-IT"/>
        </w:rPr>
        <w:t>amm</w:t>
      </w:r>
      <w:proofErr w:type="spellEnd"/>
      <w:r w:rsidRPr="004B4E20">
        <w:rPr>
          <w:rFonts w:ascii="Garamond" w:eastAsia="Times New Roman" w:hAnsi="Garamond" w:cs="Times New Roman"/>
          <w:color w:val="000000"/>
          <w:sz w:val="30"/>
          <w:szCs w:val="30"/>
          <w:lang w:eastAsia="it-IT"/>
        </w:rPr>
        <w:t>.), sono infondati e vanno respinti.</w:t>
      </w:r>
    </w:p>
    <w:p w14:paraId="75D0676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lastRenderedPageBreak/>
        <w:t>2.- In via preliminare va dichiarato ammissibile l’intervento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opponendum</w:t>
      </w:r>
      <w:proofErr w:type="spellEnd"/>
      <w:r w:rsidRPr="004B4E20">
        <w:rPr>
          <w:rFonts w:ascii="Garamond" w:eastAsia="Times New Roman" w:hAnsi="Garamond" w:cs="Times New Roman"/>
          <w:i/>
          <w:iCs/>
          <w:color w:val="000000"/>
          <w:sz w:val="30"/>
          <w:szCs w:val="30"/>
          <w:lang w:eastAsia="it-IT"/>
        </w:rPr>
        <w:t> </w:t>
      </w:r>
      <w:r w:rsidRPr="004B4E20">
        <w:rPr>
          <w:rFonts w:ascii="Garamond" w:eastAsia="Times New Roman" w:hAnsi="Garamond" w:cs="Times New Roman"/>
          <w:color w:val="000000"/>
          <w:sz w:val="30"/>
          <w:szCs w:val="30"/>
          <w:lang w:eastAsia="it-IT"/>
        </w:rPr>
        <w:t xml:space="preserve">dispiegato da Brianza Energia Ambiente </w:t>
      </w:r>
      <w:proofErr w:type="gramStart"/>
      <w:r w:rsidRPr="004B4E20">
        <w:rPr>
          <w:rFonts w:ascii="Garamond" w:eastAsia="Times New Roman" w:hAnsi="Garamond" w:cs="Times New Roman"/>
          <w:color w:val="000000"/>
          <w:sz w:val="30"/>
          <w:szCs w:val="30"/>
          <w:lang w:eastAsia="it-IT"/>
        </w:rPr>
        <w:t>S.p.A..</w:t>
      </w:r>
      <w:proofErr w:type="gramEnd"/>
    </w:p>
    <w:p w14:paraId="571BA2F3"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Osserva il Collegio che, ai sensi dell’art. 97 cod. proc. </w:t>
      </w:r>
      <w:proofErr w:type="spellStart"/>
      <w:r w:rsidRPr="004B4E20">
        <w:rPr>
          <w:rFonts w:ascii="Garamond" w:eastAsia="Times New Roman" w:hAnsi="Garamond" w:cs="Times New Roman"/>
          <w:color w:val="000000"/>
          <w:sz w:val="30"/>
          <w:szCs w:val="30"/>
          <w:lang w:eastAsia="it-IT"/>
        </w:rPr>
        <w:t>amm</w:t>
      </w:r>
      <w:proofErr w:type="spellEnd"/>
      <w:r w:rsidRPr="004B4E20">
        <w:rPr>
          <w:rFonts w:ascii="Garamond" w:eastAsia="Times New Roman" w:hAnsi="Garamond" w:cs="Times New Roman"/>
          <w:color w:val="000000"/>
          <w:sz w:val="30"/>
          <w:szCs w:val="30"/>
          <w:lang w:eastAsia="it-IT"/>
        </w:rPr>
        <w:t>., l’intervento nel giudizio di impugnazione è riservato a “</w:t>
      </w:r>
      <w:r w:rsidRPr="004B4E20">
        <w:rPr>
          <w:rFonts w:ascii="Garamond" w:eastAsia="Times New Roman" w:hAnsi="Garamond" w:cs="Times New Roman"/>
          <w:i/>
          <w:iCs/>
          <w:color w:val="000000"/>
          <w:sz w:val="30"/>
          <w:szCs w:val="30"/>
          <w:lang w:eastAsia="it-IT"/>
        </w:rPr>
        <w:t>chi vi ha interesse</w:t>
      </w:r>
      <w:r w:rsidRPr="004B4E20">
        <w:rPr>
          <w:rFonts w:ascii="Garamond" w:eastAsia="Times New Roman" w:hAnsi="Garamond" w:cs="Times New Roman"/>
          <w:color w:val="000000"/>
          <w:sz w:val="30"/>
          <w:szCs w:val="30"/>
          <w:lang w:eastAsia="it-IT"/>
        </w:rPr>
        <w:t>”.</w:t>
      </w:r>
    </w:p>
    <w:p w14:paraId="5A471785"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La norma va interpretata nel senso che, ai fini della valutazione della legittimazione all’intervento, occorra aversi riguardo alla posizione che avrebbe assunto la parte rispetto alla controversia di primo grado (Cons. Stato, sez. IV, 29 agosto 2019, n. 5985). Invero, l’intervento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opponendum</w:t>
      </w:r>
      <w:proofErr w:type="spellEnd"/>
      <w:r w:rsidRPr="004B4E20">
        <w:rPr>
          <w:rFonts w:ascii="Garamond" w:eastAsia="Times New Roman" w:hAnsi="Garamond" w:cs="Times New Roman"/>
          <w:color w:val="000000"/>
          <w:sz w:val="30"/>
          <w:szCs w:val="30"/>
          <w:lang w:eastAsia="it-IT"/>
        </w:rPr>
        <w:t> svolto in grado di appello averso l’impugnazione diretta della sentenza che ha accolto il ricorso di primo grado – la cui finalità è, appunto, quella di contrastare le ragioni della parte ricorrente in appello – va correttamente qualificato come intervento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adiuvandum</w:t>
      </w:r>
      <w:proofErr w:type="spellEnd"/>
      <w:r w:rsidRPr="004B4E20">
        <w:rPr>
          <w:rFonts w:ascii="Garamond" w:eastAsia="Times New Roman" w:hAnsi="Garamond" w:cs="Times New Roman"/>
          <w:color w:val="000000"/>
          <w:sz w:val="30"/>
          <w:szCs w:val="30"/>
          <w:lang w:eastAsia="it-IT"/>
        </w:rPr>
        <w:t> degli originari ricorrenti, per il quale, come è noto, è richiesta la titolarità di una posizione giuridica dipendente rispetto a quella da questa dedotta in giudizio. Non essendo, dunque, sufficiente a supportare un siffatto intervento in giudizio la semplice titolarità di un interesse di fatto (suscettibile, invece, di fondare il mero intervento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opponendum</w:t>
      </w:r>
      <w:proofErr w:type="spellEnd"/>
      <w:r w:rsidRPr="004B4E20">
        <w:rPr>
          <w:rFonts w:ascii="Garamond" w:eastAsia="Times New Roman" w:hAnsi="Garamond" w:cs="Times New Roman"/>
          <w:i/>
          <w:iCs/>
          <w:color w:val="000000"/>
          <w:sz w:val="30"/>
          <w:szCs w:val="30"/>
          <w:lang w:eastAsia="it-IT"/>
        </w:rPr>
        <w:t> </w:t>
      </w:r>
      <w:r w:rsidRPr="004B4E20">
        <w:rPr>
          <w:rFonts w:ascii="Garamond" w:eastAsia="Times New Roman" w:hAnsi="Garamond" w:cs="Times New Roman"/>
          <w:color w:val="000000"/>
          <w:sz w:val="30"/>
          <w:szCs w:val="30"/>
          <w:lang w:eastAsia="it-IT"/>
        </w:rPr>
        <w:t>“proprio”, quello cioè svolto a favore dell’Amministrazione resistente </w:t>
      </w:r>
      <w:r w:rsidRPr="004B4E20">
        <w:rPr>
          <w:rFonts w:ascii="Garamond" w:eastAsia="Times New Roman" w:hAnsi="Garamond" w:cs="Times New Roman"/>
          <w:i/>
          <w:iCs/>
          <w:color w:val="000000"/>
          <w:sz w:val="30"/>
          <w:szCs w:val="30"/>
          <w:lang w:eastAsia="it-IT"/>
        </w:rPr>
        <w:t>in primo grado</w:t>
      </w:r>
      <w:r w:rsidRPr="004B4E20">
        <w:rPr>
          <w:rFonts w:ascii="Garamond" w:eastAsia="Times New Roman" w:hAnsi="Garamond" w:cs="Times New Roman"/>
          <w:color w:val="000000"/>
          <w:sz w:val="30"/>
          <w:szCs w:val="30"/>
          <w:lang w:eastAsia="it-IT"/>
        </w:rPr>
        <w:t>) e laddove gli opponenti non siano titolari di una posizione giuridica in qualche modo dipendente da quella degli appellati è, quindi, da escludersi per essi la possibilità di intervenire in causa in via </w:t>
      </w:r>
      <w:r w:rsidRPr="004B4E20">
        <w:rPr>
          <w:rFonts w:ascii="Garamond" w:eastAsia="Times New Roman" w:hAnsi="Garamond" w:cs="Times New Roman"/>
          <w:i/>
          <w:iCs/>
          <w:color w:val="000000"/>
          <w:sz w:val="30"/>
          <w:szCs w:val="30"/>
          <w:lang w:eastAsia="it-IT"/>
        </w:rPr>
        <w:t>litisconsortile</w:t>
      </w:r>
      <w:r w:rsidRPr="004B4E20">
        <w:rPr>
          <w:rFonts w:ascii="Garamond" w:eastAsia="Times New Roman" w:hAnsi="Garamond" w:cs="Times New Roman"/>
          <w:color w:val="000000"/>
          <w:sz w:val="30"/>
          <w:szCs w:val="30"/>
          <w:lang w:eastAsia="it-IT"/>
        </w:rPr>
        <w:t>, proponendo una domanda che, di fatto, si configura </w:t>
      </w:r>
      <w:r w:rsidRPr="004B4E20">
        <w:rPr>
          <w:rFonts w:ascii="Garamond" w:eastAsia="Times New Roman" w:hAnsi="Garamond" w:cs="Times New Roman"/>
          <w:i/>
          <w:iCs/>
          <w:color w:val="000000"/>
          <w:sz w:val="30"/>
          <w:szCs w:val="30"/>
          <w:lang w:eastAsia="it-IT"/>
        </w:rPr>
        <w:t>come autonoma e parallela</w:t>
      </w:r>
      <w:r w:rsidRPr="004B4E20">
        <w:rPr>
          <w:rFonts w:ascii="Garamond" w:eastAsia="Times New Roman" w:hAnsi="Garamond" w:cs="Times New Roman"/>
          <w:color w:val="000000"/>
          <w:sz w:val="30"/>
          <w:szCs w:val="30"/>
          <w:lang w:eastAsia="it-IT"/>
        </w:rPr>
        <w:t xml:space="preserve"> (e non addirittura contrassegnata da un potenziale conflitto con gli originari ricorrenti, a quella proposta da questi ultimi, in quanto volta a tutelare una loro propria posizione giuridica attinta direttamente dai provvedimenti impugnati o da provvedimenti analoghi, che sarebbe stato onere della parte impugnare (cfr. Cons. Stato, Ad. </w:t>
      </w:r>
      <w:proofErr w:type="spellStart"/>
      <w:r w:rsidRPr="004B4E20">
        <w:rPr>
          <w:rFonts w:ascii="Garamond" w:eastAsia="Times New Roman" w:hAnsi="Garamond" w:cs="Times New Roman"/>
          <w:color w:val="000000"/>
          <w:sz w:val="30"/>
          <w:szCs w:val="30"/>
          <w:lang w:eastAsia="it-IT"/>
        </w:rPr>
        <w:t>plen</w:t>
      </w:r>
      <w:proofErr w:type="spellEnd"/>
      <w:r w:rsidRPr="004B4E20">
        <w:rPr>
          <w:rFonts w:ascii="Garamond" w:eastAsia="Times New Roman" w:hAnsi="Garamond" w:cs="Times New Roman"/>
          <w:color w:val="000000"/>
          <w:sz w:val="30"/>
          <w:szCs w:val="30"/>
          <w:lang w:eastAsia="it-IT"/>
        </w:rPr>
        <w:t>., 28 gennaio 2015, n. 1; Cons. Stato, sez. III, 19 settembre 2018, n. 5459; Cons. Stato, sez. VI, 10 luglio 2020, n. 4425; Cons. Stato, sez. III, 14 dicembre 2016, n. 5268).</w:t>
      </w:r>
    </w:p>
    <w:p w14:paraId="745E41F3"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lastRenderedPageBreak/>
        <w:t>Orbene, contrariamente all’assunto delle parti appellanti, non risulta corretto ritenere che Brianza Energia Ambiente S.p.A. sarebbe stata tenuta ad impugnare direttamente la delibera censurata con il ricorso di primo grado.</w:t>
      </w:r>
    </w:p>
    <w:p w14:paraId="5F14F20C"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Invero, a differenza dei ricorrenti di primo grado – legittimati alla impugnazione in ragione della allegata qualità di “</w:t>
      </w:r>
      <w:r w:rsidRPr="004B4E20">
        <w:rPr>
          <w:rFonts w:ascii="Garamond" w:eastAsia="Times New Roman" w:hAnsi="Garamond" w:cs="Times New Roman"/>
          <w:i/>
          <w:iCs/>
          <w:color w:val="000000"/>
          <w:sz w:val="30"/>
          <w:szCs w:val="30"/>
          <w:lang w:eastAsia="it-IT"/>
        </w:rPr>
        <w:t>operatori del settore</w:t>
      </w:r>
      <w:r w:rsidRPr="004B4E20">
        <w:rPr>
          <w:rFonts w:ascii="Garamond" w:eastAsia="Times New Roman" w:hAnsi="Garamond" w:cs="Times New Roman"/>
          <w:color w:val="000000"/>
          <w:sz w:val="30"/>
          <w:szCs w:val="30"/>
          <w:lang w:eastAsia="it-IT"/>
        </w:rPr>
        <w:t>”, pregiudicati dalla sottrazione all’evidenza pubblica del potenziale accesso concorrenziale ad un settore di mercato – essa (che in nessun caso avrebbe potuto aspirare all’auspicato confronto competitivo) si assume pregiudicata dalla scelta per la contestata operazione societaria, in quanto idonea ad impedire la valutazione di ipotesi di riorganizzazione/aggregazione societaria alternative, da esperirsi anche a seguito di procedura ad evidenza pubblica che avrebbero consentito una migliore valorizzazione dei rilevanti </w:t>
      </w:r>
      <w:r w:rsidRPr="004B4E20">
        <w:rPr>
          <w:rFonts w:ascii="Garamond" w:eastAsia="Times New Roman" w:hAnsi="Garamond" w:cs="Times New Roman"/>
          <w:i/>
          <w:iCs/>
          <w:color w:val="000000"/>
          <w:sz w:val="30"/>
          <w:szCs w:val="30"/>
          <w:lang w:eastAsia="it-IT"/>
        </w:rPr>
        <w:t>asset</w:t>
      </w:r>
      <w:r w:rsidRPr="004B4E20">
        <w:rPr>
          <w:rFonts w:ascii="Garamond" w:eastAsia="Times New Roman" w:hAnsi="Garamond" w:cs="Times New Roman"/>
          <w:color w:val="000000"/>
          <w:sz w:val="30"/>
          <w:szCs w:val="30"/>
          <w:lang w:eastAsia="it-IT"/>
        </w:rPr>
        <w:t> pubblici in gioco.</w:t>
      </w:r>
    </w:p>
    <w:p w14:paraId="4196B06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Si tratta, con ciò, di un interesse di mero fatto rispetto ai termini della controversia, che avrebbe, come tale, legittimato l’intervento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adiuvandum</w:t>
      </w:r>
      <w:proofErr w:type="spellEnd"/>
      <w:r w:rsidRPr="004B4E20">
        <w:rPr>
          <w:rFonts w:ascii="Garamond" w:eastAsia="Times New Roman" w:hAnsi="Garamond" w:cs="Times New Roman"/>
          <w:i/>
          <w:iCs/>
          <w:color w:val="000000"/>
          <w:sz w:val="30"/>
          <w:szCs w:val="30"/>
          <w:lang w:eastAsia="it-IT"/>
        </w:rPr>
        <w:t> </w:t>
      </w:r>
      <w:r w:rsidRPr="004B4E20">
        <w:rPr>
          <w:rFonts w:ascii="Garamond" w:eastAsia="Times New Roman" w:hAnsi="Garamond" w:cs="Times New Roman"/>
          <w:color w:val="000000"/>
          <w:sz w:val="30"/>
          <w:szCs w:val="30"/>
          <w:lang w:eastAsia="it-IT"/>
        </w:rPr>
        <w:t>in prime cure e giustifica, perciò, l’intervento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opponendum</w:t>
      </w:r>
      <w:proofErr w:type="spellEnd"/>
      <w:r w:rsidRPr="004B4E20">
        <w:rPr>
          <w:rFonts w:ascii="Garamond" w:eastAsia="Times New Roman" w:hAnsi="Garamond" w:cs="Times New Roman"/>
          <w:color w:val="000000"/>
          <w:sz w:val="30"/>
          <w:szCs w:val="30"/>
          <w:lang w:eastAsia="it-IT"/>
        </w:rPr>
        <w:t> nella fase di appello.</w:t>
      </w:r>
    </w:p>
    <w:p w14:paraId="4CFACE9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3.- Per analogo ordine di ragioni, non sussistono dubbi in ordine alla ammissibilità dell’intervento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adiuvandum</w:t>
      </w:r>
      <w:proofErr w:type="spellEnd"/>
      <w:r w:rsidRPr="004B4E20">
        <w:rPr>
          <w:rFonts w:ascii="Garamond" w:eastAsia="Times New Roman" w:hAnsi="Garamond" w:cs="Times New Roman"/>
          <w:color w:val="000000"/>
          <w:sz w:val="30"/>
          <w:szCs w:val="30"/>
          <w:lang w:eastAsia="it-IT"/>
        </w:rPr>
        <w:t xml:space="preserve"> di </w:t>
      </w:r>
      <w:proofErr w:type="spellStart"/>
      <w:r w:rsidRPr="004B4E20">
        <w:rPr>
          <w:rFonts w:ascii="Garamond" w:eastAsia="Times New Roman" w:hAnsi="Garamond" w:cs="Times New Roman"/>
          <w:color w:val="000000"/>
          <w:sz w:val="30"/>
          <w:szCs w:val="30"/>
          <w:lang w:eastAsia="it-IT"/>
        </w:rPr>
        <w:t>Gelsia</w:t>
      </w:r>
      <w:proofErr w:type="spellEnd"/>
      <w:r w:rsidRPr="004B4E20">
        <w:rPr>
          <w:rFonts w:ascii="Garamond" w:eastAsia="Times New Roman" w:hAnsi="Garamond" w:cs="Times New Roman"/>
          <w:color w:val="000000"/>
          <w:sz w:val="30"/>
          <w:szCs w:val="30"/>
          <w:lang w:eastAsia="it-IT"/>
        </w:rPr>
        <w:t xml:space="preserve"> Ambente S.r.l., in quanto corrispondente ad un intervento </w:t>
      </w:r>
      <w:r w:rsidRPr="004B4E20">
        <w:rPr>
          <w:rFonts w:ascii="Garamond" w:eastAsia="Times New Roman" w:hAnsi="Garamond" w:cs="Times New Roman"/>
          <w:i/>
          <w:iCs/>
          <w:color w:val="000000"/>
          <w:sz w:val="30"/>
          <w:szCs w:val="30"/>
          <w:lang w:eastAsia="it-IT"/>
        </w:rPr>
        <w:t xml:space="preserve">ad </w:t>
      </w:r>
      <w:proofErr w:type="spellStart"/>
      <w:r w:rsidRPr="004B4E20">
        <w:rPr>
          <w:rFonts w:ascii="Garamond" w:eastAsia="Times New Roman" w:hAnsi="Garamond" w:cs="Times New Roman"/>
          <w:i/>
          <w:iCs/>
          <w:color w:val="000000"/>
          <w:sz w:val="30"/>
          <w:szCs w:val="30"/>
          <w:lang w:eastAsia="it-IT"/>
        </w:rPr>
        <w:t>opponendum</w:t>
      </w:r>
      <w:proofErr w:type="spellEnd"/>
      <w:r w:rsidRPr="004B4E20">
        <w:rPr>
          <w:rFonts w:ascii="Garamond" w:eastAsia="Times New Roman" w:hAnsi="Garamond" w:cs="Times New Roman"/>
          <w:i/>
          <w:iCs/>
          <w:color w:val="000000"/>
          <w:sz w:val="30"/>
          <w:szCs w:val="30"/>
          <w:lang w:eastAsia="it-IT"/>
        </w:rPr>
        <w:t> </w:t>
      </w:r>
      <w:r w:rsidRPr="004B4E20">
        <w:rPr>
          <w:rFonts w:ascii="Garamond" w:eastAsia="Times New Roman" w:hAnsi="Garamond" w:cs="Times New Roman"/>
          <w:color w:val="000000"/>
          <w:sz w:val="30"/>
          <w:szCs w:val="30"/>
          <w:lang w:eastAsia="it-IT"/>
        </w:rPr>
        <w:t>in prime cure, ammesso in ragione del mero interesse di fatto alla demolizione del provvedimento impugnato.</w:t>
      </w:r>
    </w:p>
    <w:p w14:paraId="4CD448E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4.- Con un primo ordine di motivi – che, in quanto proposti in guisa convergente, giustificano un esame unitario – le parti appellanti lamentano </w:t>
      </w:r>
      <w:proofErr w:type="spellStart"/>
      <w:r w:rsidRPr="004B4E20">
        <w:rPr>
          <w:rFonts w:ascii="Garamond" w:eastAsia="Times New Roman" w:hAnsi="Garamond" w:cs="Times New Roman"/>
          <w:i/>
          <w:iCs/>
          <w:color w:val="000000"/>
          <w:sz w:val="30"/>
          <w:szCs w:val="30"/>
          <w:lang w:eastAsia="it-IT"/>
        </w:rPr>
        <w:t>error</w:t>
      </w:r>
      <w:proofErr w:type="spellEnd"/>
      <w:r w:rsidRPr="004B4E20">
        <w:rPr>
          <w:rFonts w:ascii="Garamond" w:eastAsia="Times New Roman" w:hAnsi="Garamond" w:cs="Times New Roman"/>
          <w:i/>
          <w:iCs/>
          <w:color w:val="000000"/>
          <w:sz w:val="30"/>
          <w:szCs w:val="30"/>
          <w:lang w:eastAsia="it-IT"/>
        </w:rPr>
        <w:t xml:space="preserve"> in procedendo </w:t>
      </w:r>
      <w:r w:rsidRPr="004B4E20">
        <w:rPr>
          <w:rFonts w:ascii="Garamond" w:eastAsia="Times New Roman" w:hAnsi="Garamond" w:cs="Times New Roman"/>
          <w:color w:val="000000"/>
          <w:sz w:val="30"/>
          <w:szCs w:val="30"/>
          <w:lang w:eastAsia="it-IT"/>
        </w:rPr>
        <w:t>e </w:t>
      </w:r>
      <w:r w:rsidRPr="004B4E20">
        <w:rPr>
          <w:rFonts w:ascii="Garamond" w:eastAsia="Times New Roman" w:hAnsi="Garamond" w:cs="Times New Roman"/>
          <w:i/>
          <w:iCs/>
          <w:color w:val="000000"/>
          <w:sz w:val="30"/>
          <w:szCs w:val="30"/>
          <w:lang w:eastAsia="it-IT"/>
        </w:rPr>
        <w:t xml:space="preserve">in </w:t>
      </w:r>
      <w:proofErr w:type="spellStart"/>
      <w:r w:rsidRPr="004B4E20">
        <w:rPr>
          <w:rFonts w:ascii="Garamond" w:eastAsia="Times New Roman" w:hAnsi="Garamond" w:cs="Times New Roman"/>
          <w:i/>
          <w:iCs/>
          <w:color w:val="000000"/>
          <w:sz w:val="30"/>
          <w:szCs w:val="30"/>
          <w:lang w:eastAsia="it-IT"/>
        </w:rPr>
        <w:t>judicando</w:t>
      </w:r>
      <w:proofErr w:type="spellEnd"/>
      <w:r w:rsidRPr="004B4E20">
        <w:rPr>
          <w:rFonts w:ascii="Garamond" w:eastAsia="Times New Roman" w:hAnsi="Garamond" w:cs="Times New Roman"/>
          <w:color w:val="000000"/>
          <w:sz w:val="30"/>
          <w:szCs w:val="30"/>
          <w:lang w:eastAsia="it-IT"/>
        </w:rPr>
        <w:t>, avuto riguardo alla dedotta inammissibilità del ricorso di primo grado, in quanto proposto in forma collettiva.</w:t>
      </w:r>
    </w:p>
    <w:p w14:paraId="06FD9BCA"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Il ricorso era stato, invero, proposto congiuntamente da Marco Maria Fumagalli, nella allegata qualità di consigliere regionale, e da due operatori economici, CST Centro Servizi Termici di Calzolari Maurizio e Depositi Carboni Bovisa DE.CA.BO S.r.l.: sicché – una volta rilevata ed accertata la carenza di legittimazione e di interesse </w:t>
      </w:r>
      <w:r w:rsidRPr="004B4E20">
        <w:rPr>
          <w:rFonts w:ascii="Garamond" w:eastAsia="Times New Roman" w:hAnsi="Garamond" w:cs="Times New Roman"/>
          <w:color w:val="000000"/>
          <w:sz w:val="30"/>
          <w:szCs w:val="30"/>
          <w:lang w:eastAsia="it-IT"/>
        </w:rPr>
        <w:lastRenderedPageBreak/>
        <w:t>del Fumagalli – il primo giudice avrebbe dovuto dichiarare l’</w:t>
      </w:r>
      <w:r w:rsidRPr="004B4E20">
        <w:rPr>
          <w:rFonts w:ascii="Garamond" w:eastAsia="Times New Roman" w:hAnsi="Garamond" w:cs="Times New Roman"/>
          <w:i/>
          <w:iCs/>
          <w:color w:val="000000"/>
          <w:sz w:val="30"/>
          <w:szCs w:val="30"/>
          <w:lang w:eastAsia="it-IT"/>
        </w:rPr>
        <w:t>integrale e complessiva</w:t>
      </w:r>
      <w:r w:rsidRPr="004B4E20">
        <w:rPr>
          <w:rFonts w:ascii="Garamond" w:eastAsia="Times New Roman" w:hAnsi="Garamond" w:cs="Times New Roman"/>
          <w:color w:val="000000"/>
          <w:sz w:val="30"/>
          <w:szCs w:val="30"/>
          <w:lang w:eastAsia="it-IT"/>
        </w:rPr>
        <w:t xml:space="preserve"> inammissibilità del ricorso, senza poter </w:t>
      </w:r>
      <w:proofErr w:type="spellStart"/>
      <w:r w:rsidRPr="004B4E20">
        <w:rPr>
          <w:rFonts w:ascii="Garamond" w:eastAsia="Times New Roman" w:hAnsi="Garamond" w:cs="Times New Roman"/>
          <w:color w:val="000000"/>
          <w:sz w:val="30"/>
          <w:szCs w:val="30"/>
          <w:lang w:eastAsia="it-IT"/>
        </w:rPr>
        <w:t>implausibilmente</w:t>
      </w:r>
      <w:proofErr w:type="spellEnd"/>
      <w:r w:rsidRPr="004B4E20">
        <w:rPr>
          <w:rFonts w:ascii="Garamond" w:eastAsia="Times New Roman" w:hAnsi="Garamond" w:cs="Times New Roman"/>
          <w:color w:val="000000"/>
          <w:sz w:val="30"/>
          <w:szCs w:val="30"/>
          <w:lang w:eastAsia="it-IT"/>
        </w:rPr>
        <w:t xml:space="preserve"> valorizzare, in violazione dell’art. 40 cod. proc. </w:t>
      </w:r>
      <w:proofErr w:type="spellStart"/>
      <w:r w:rsidRPr="004B4E20">
        <w:rPr>
          <w:rFonts w:ascii="Garamond" w:eastAsia="Times New Roman" w:hAnsi="Garamond" w:cs="Times New Roman"/>
          <w:color w:val="000000"/>
          <w:sz w:val="30"/>
          <w:szCs w:val="30"/>
          <w:lang w:eastAsia="it-IT"/>
        </w:rPr>
        <w:t>amm</w:t>
      </w:r>
      <w:proofErr w:type="spellEnd"/>
      <w:r w:rsidRPr="004B4E20">
        <w:rPr>
          <w:rFonts w:ascii="Garamond" w:eastAsia="Times New Roman" w:hAnsi="Garamond" w:cs="Times New Roman"/>
          <w:color w:val="000000"/>
          <w:sz w:val="30"/>
          <w:szCs w:val="30"/>
          <w:lang w:eastAsia="it-IT"/>
        </w:rPr>
        <w:t>., un non pertinente principio di conservazione degli atti giuridici. Avrebbe dovuto, in altri termini, prendere atto della </w:t>
      </w:r>
      <w:r w:rsidRPr="004B4E20">
        <w:rPr>
          <w:rFonts w:ascii="Garamond" w:eastAsia="Times New Roman" w:hAnsi="Garamond" w:cs="Times New Roman"/>
          <w:i/>
          <w:iCs/>
          <w:color w:val="000000"/>
          <w:sz w:val="30"/>
          <w:szCs w:val="30"/>
          <w:lang w:eastAsia="it-IT"/>
        </w:rPr>
        <w:t>eterogeneità</w:t>
      </w:r>
      <w:r w:rsidRPr="004B4E20">
        <w:rPr>
          <w:rFonts w:ascii="Garamond" w:eastAsia="Times New Roman" w:hAnsi="Garamond" w:cs="Times New Roman"/>
          <w:color w:val="000000"/>
          <w:sz w:val="30"/>
          <w:szCs w:val="30"/>
          <w:lang w:eastAsia="it-IT"/>
        </w:rPr>
        <w:t> delle posizioni dei tre soggetti ricorrenti e, di conseguenza, della impossibilità di ritenerli “</w:t>
      </w:r>
      <w:r w:rsidRPr="004B4E20">
        <w:rPr>
          <w:rFonts w:ascii="Garamond" w:eastAsia="Times New Roman" w:hAnsi="Garamond" w:cs="Times New Roman"/>
          <w:i/>
          <w:iCs/>
          <w:color w:val="000000"/>
          <w:sz w:val="30"/>
          <w:szCs w:val="30"/>
          <w:lang w:eastAsia="it-IT"/>
        </w:rPr>
        <w:t>unica parte processuale</w:t>
      </w:r>
      <w:r w:rsidRPr="004B4E20">
        <w:rPr>
          <w:rFonts w:ascii="Garamond" w:eastAsia="Times New Roman" w:hAnsi="Garamond" w:cs="Times New Roman"/>
          <w:color w:val="000000"/>
          <w:sz w:val="30"/>
          <w:szCs w:val="30"/>
          <w:lang w:eastAsia="it-IT"/>
        </w:rPr>
        <w:t>”, dovendo il vaglio di ammissibilità del ricorso collettivo essere effettuato con </w:t>
      </w:r>
      <w:r w:rsidRPr="004B4E20">
        <w:rPr>
          <w:rFonts w:ascii="Garamond" w:eastAsia="Times New Roman" w:hAnsi="Garamond" w:cs="Times New Roman"/>
          <w:i/>
          <w:iCs/>
          <w:color w:val="000000"/>
          <w:sz w:val="30"/>
          <w:szCs w:val="30"/>
          <w:lang w:eastAsia="it-IT"/>
        </w:rPr>
        <w:t>unitario </w:t>
      </w:r>
      <w:r w:rsidRPr="004B4E20">
        <w:rPr>
          <w:rFonts w:ascii="Garamond" w:eastAsia="Times New Roman" w:hAnsi="Garamond" w:cs="Times New Roman"/>
          <w:color w:val="000000"/>
          <w:sz w:val="30"/>
          <w:szCs w:val="30"/>
          <w:lang w:eastAsia="it-IT"/>
        </w:rPr>
        <w:t>ed </w:t>
      </w:r>
      <w:r w:rsidRPr="004B4E20">
        <w:rPr>
          <w:rFonts w:ascii="Garamond" w:eastAsia="Times New Roman" w:hAnsi="Garamond" w:cs="Times New Roman"/>
          <w:i/>
          <w:iCs/>
          <w:color w:val="000000"/>
          <w:sz w:val="30"/>
          <w:szCs w:val="30"/>
          <w:lang w:eastAsia="it-IT"/>
        </w:rPr>
        <w:t>inscindibile </w:t>
      </w:r>
      <w:r w:rsidRPr="004B4E20">
        <w:rPr>
          <w:rFonts w:ascii="Garamond" w:eastAsia="Times New Roman" w:hAnsi="Garamond" w:cs="Times New Roman"/>
          <w:color w:val="000000"/>
          <w:sz w:val="30"/>
          <w:szCs w:val="30"/>
          <w:lang w:eastAsia="it-IT"/>
        </w:rPr>
        <w:t>riferimento </w:t>
      </w:r>
      <w:r w:rsidRPr="004B4E20">
        <w:rPr>
          <w:rFonts w:ascii="Garamond" w:eastAsia="Times New Roman" w:hAnsi="Garamond" w:cs="Times New Roman"/>
          <w:i/>
          <w:iCs/>
          <w:color w:val="000000"/>
          <w:sz w:val="30"/>
          <w:szCs w:val="30"/>
          <w:lang w:eastAsia="it-IT"/>
        </w:rPr>
        <w:t>a tutti i soggetti ricorrenti</w:t>
      </w:r>
      <w:r w:rsidRPr="004B4E20">
        <w:rPr>
          <w:rFonts w:ascii="Garamond" w:eastAsia="Times New Roman" w:hAnsi="Garamond" w:cs="Times New Roman"/>
          <w:color w:val="000000"/>
          <w:sz w:val="30"/>
          <w:szCs w:val="30"/>
          <w:lang w:eastAsia="it-IT"/>
        </w:rPr>
        <w:t>.</w:t>
      </w:r>
    </w:p>
    <w:p w14:paraId="4A4E4E01"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Per giunta – avuto riguardo al non derogabile </w:t>
      </w:r>
      <w:r w:rsidRPr="004B4E20">
        <w:rPr>
          <w:rFonts w:ascii="Garamond" w:eastAsia="Times New Roman" w:hAnsi="Garamond" w:cs="Times New Roman"/>
          <w:i/>
          <w:iCs/>
          <w:color w:val="000000"/>
          <w:sz w:val="30"/>
          <w:szCs w:val="30"/>
          <w:lang w:eastAsia="it-IT"/>
        </w:rPr>
        <w:t>ordine logico</w:t>
      </w:r>
      <w:r w:rsidRPr="004B4E20">
        <w:rPr>
          <w:rFonts w:ascii="Garamond" w:eastAsia="Times New Roman" w:hAnsi="Garamond" w:cs="Times New Roman"/>
          <w:color w:val="000000"/>
          <w:sz w:val="30"/>
          <w:szCs w:val="30"/>
          <w:lang w:eastAsia="it-IT"/>
        </w:rPr>
        <w:t> di esame delle questioni – l’accertamento dei presupposti e dei requisiti necessari </w:t>
      </w:r>
      <w:r w:rsidRPr="004B4E20">
        <w:rPr>
          <w:rFonts w:ascii="Garamond" w:eastAsia="Times New Roman" w:hAnsi="Garamond" w:cs="Times New Roman"/>
          <w:i/>
          <w:iCs/>
          <w:color w:val="000000"/>
          <w:sz w:val="30"/>
          <w:szCs w:val="30"/>
          <w:lang w:eastAsia="it-IT"/>
        </w:rPr>
        <w:t>per la stessa proposizione del ricorso</w:t>
      </w:r>
      <w:r w:rsidRPr="004B4E20">
        <w:rPr>
          <w:rFonts w:ascii="Garamond" w:eastAsia="Times New Roman" w:hAnsi="Garamond" w:cs="Times New Roman"/>
          <w:color w:val="000000"/>
          <w:sz w:val="30"/>
          <w:szCs w:val="30"/>
          <w:lang w:eastAsia="it-IT"/>
        </w:rPr>
        <w:t> in forma collettiva avrebbe dovuto essere esaminato, trattandosi di </w:t>
      </w:r>
      <w:r w:rsidRPr="004B4E20">
        <w:rPr>
          <w:rFonts w:ascii="Garamond" w:eastAsia="Times New Roman" w:hAnsi="Garamond" w:cs="Times New Roman"/>
          <w:i/>
          <w:iCs/>
          <w:color w:val="000000"/>
          <w:sz w:val="30"/>
          <w:szCs w:val="30"/>
          <w:lang w:eastAsia="it-IT"/>
        </w:rPr>
        <w:t>questione assolutamente preliminare</w:t>
      </w:r>
      <w:r w:rsidRPr="004B4E20">
        <w:rPr>
          <w:rFonts w:ascii="Garamond" w:eastAsia="Times New Roman" w:hAnsi="Garamond" w:cs="Times New Roman"/>
          <w:color w:val="000000"/>
          <w:sz w:val="30"/>
          <w:szCs w:val="30"/>
          <w:lang w:eastAsia="it-IT"/>
        </w:rPr>
        <w:t> perché attinente alla formalizzazione introduttiva della domanda, con priorità rispetto all’accertamento delle condizioni concrete dell’azione </w:t>
      </w:r>
      <w:r w:rsidRPr="004B4E20">
        <w:rPr>
          <w:rFonts w:ascii="Garamond" w:eastAsia="Times New Roman" w:hAnsi="Garamond" w:cs="Times New Roman"/>
          <w:i/>
          <w:iCs/>
          <w:color w:val="000000"/>
          <w:sz w:val="30"/>
          <w:szCs w:val="30"/>
          <w:lang w:eastAsia="it-IT"/>
        </w:rPr>
        <w:t>collettiva</w:t>
      </w:r>
      <w:r w:rsidRPr="004B4E20">
        <w:rPr>
          <w:rFonts w:ascii="Garamond" w:eastAsia="Times New Roman" w:hAnsi="Garamond" w:cs="Times New Roman"/>
          <w:color w:val="000000"/>
          <w:sz w:val="30"/>
          <w:szCs w:val="30"/>
          <w:lang w:eastAsia="it-IT"/>
        </w:rPr>
        <w:t xml:space="preserve">, in punto di interesse e legittimazione a ricorrere dei singoli </w:t>
      </w:r>
      <w:proofErr w:type="spellStart"/>
      <w:r w:rsidRPr="004B4E20">
        <w:rPr>
          <w:rFonts w:ascii="Garamond" w:eastAsia="Times New Roman" w:hAnsi="Garamond" w:cs="Times New Roman"/>
          <w:color w:val="000000"/>
          <w:sz w:val="30"/>
          <w:szCs w:val="30"/>
          <w:lang w:eastAsia="it-IT"/>
        </w:rPr>
        <w:t>coricorrenti</w:t>
      </w:r>
      <w:proofErr w:type="spellEnd"/>
      <w:r w:rsidRPr="004B4E20">
        <w:rPr>
          <w:rFonts w:ascii="Garamond" w:eastAsia="Times New Roman" w:hAnsi="Garamond" w:cs="Times New Roman"/>
          <w:color w:val="000000"/>
          <w:sz w:val="30"/>
          <w:szCs w:val="30"/>
          <w:lang w:eastAsia="it-IT"/>
        </w:rPr>
        <w:t>: la </w:t>
      </w:r>
      <w:r w:rsidRPr="004B4E20">
        <w:rPr>
          <w:rFonts w:ascii="Garamond" w:eastAsia="Times New Roman" w:hAnsi="Garamond" w:cs="Times New Roman"/>
          <w:i/>
          <w:iCs/>
          <w:color w:val="000000"/>
          <w:sz w:val="30"/>
          <w:szCs w:val="30"/>
          <w:lang w:eastAsia="it-IT"/>
        </w:rPr>
        <w:t>validità</w:t>
      </w:r>
      <w:r w:rsidRPr="004B4E20">
        <w:rPr>
          <w:rFonts w:ascii="Garamond" w:eastAsia="Times New Roman" w:hAnsi="Garamond" w:cs="Times New Roman"/>
          <w:color w:val="000000"/>
          <w:sz w:val="30"/>
          <w:szCs w:val="30"/>
          <w:lang w:eastAsia="it-IT"/>
        </w:rPr>
        <w:t> del </w:t>
      </w:r>
      <w:r w:rsidRPr="004B4E20">
        <w:rPr>
          <w:rFonts w:ascii="Garamond" w:eastAsia="Times New Roman" w:hAnsi="Garamond" w:cs="Times New Roman"/>
          <w:i/>
          <w:iCs/>
          <w:color w:val="000000"/>
          <w:sz w:val="30"/>
          <w:szCs w:val="30"/>
          <w:lang w:eastAsia="it-IT"/>
        </w:rPr>
        <w:t>ricorso in quanto tale</w:t>
      </w:r>
      <w:r w:rsidRPr="004B4E20">
        <w:rPr>
          <w:rFonts w:ascii="Garamond" w:eastAsia="Times New Roman" w:hAnsi="Garamond" w:cs="Times New Roman"/>
          <w:color w:val="000000"/>
          <w:sz w:val="30"/>
          <w:szCs w:val="30"/>
          <w:lang w:eastAsia="it-IT"/>
        </w:rPr>
        <w:t> dovendo, cioè, precedere, sul piano formale, l’accertamento della </w:t>
      </w:r>
      <w:r w:rsidRPr="004B4E20">
        <w:rPr>
          <w:rFonts w:ascii="Garamond" w:eastAsia="Times New Roman" w:hAnsi="Garamond" w:cs="Times New Roman"/>
          <w:i/>
          <w:iCs/>
          <w:color w:val="000000"/>
          <w:sz w:val="30"/>
          <w:szCs w:val="30"/>
          <w:lang w:eastAsia="it-IT"/>
        </w:rPr>
        <w:t>ammissibilità delle domande </w:t>
      </w:r>
      <w:r w:rsidRPr="004B4E20">
        <w:rPr>
          <w:rFonts w:ascii="Garamond" w:eastAsia="Times New Roman" w:hAnsi="Garamond" w:cs="Times New Roman"/>
          <w:color w:val="000000"/>
          <w:sz w:val="30"/>
          <w:szCs w:val="30"/>
          <w:lang w:eastAsia="it-IT"/>
        </w:rPr>
        <w:t>dallo stesso veicolate.</w:t>
      </w:r>
    </w:p>
    <w:p w14:paraId="391349FD"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Perciò, dichiarando la carenza di legittimazione del Fumagalli e procedendo, ciononostante, a valutare la sussistenza dei requisiti per la proposizione del ricorso collettivo con riferimento alle posizioni dei (soli) CST e DE.CA.BO. (</w:t>
      </w:r>
      <w:r w:rsidRPr="004B4E20">
        <w:rPr>
          <w:rFonts w:ascii="Garamond" w:eastAsia="Times New Roman" w:hAnsi="Garamond" w:cs="Times New Roman"/>
          <w:i/>
          <w:iCs/>
          <w:color w:val="000000"/>
          <w:sz w:val="30"/>
          <w:szCs w:val="30"/>
          <w:lang w:eastAsia="it-IT"/>
        </w:rPr>
        <w:t>come se il ricorso fosse stato proposto esclusivamente da tali soggetti</w:t>
      </w:r>
      <w:r w:rsidRPr="004B4E20">
        <w:rPr>
          <w:rFonts w:ascii="Garamond" w:eastAsia="Times New Roman" w:hAnsi="Garamond" w:cs="Times New Roman"/>
          <w:color w:val="000000"/>
          <w:sz w:val="30"/>
          <w:szCs w:val="30"/>
          <w:lang w:eastAsia="it-IT"/>
        </w:rPr>
        <w:t>), il TAR avrebbe invertito il normale (e necessario) ordine di scrutinio delle questioni liminari.</w:t>
      </w:r>
    </w:p>
    <w:p w14:paraId="340A4FA5"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Né, sotto altro profilo – ed avuto riguardo al </w:t>
      </w:r>
      <w:r w:rsidRPr="004B4E20">
        <w:rPr>
          <w:rFonts w:ascii="Garamond" w:eastAsia="Times New Roman" w:hAnsi="Garamond" w:cs="Times New Roman"/>
          <w:i/>
          <w:iCs/>
          <w:color w:val="000000"/>
          <w:sz w:val="30"/>
          <w:szCs w:val="30"/>
          <w:lang w:eastAsia="it-IT"/>
        </w:rPr>
        <w:t>carattere eccezionale del ricorso collettivo</w:t>
      </w:r>
      <w:r w:rsidRPr="004B4E20">
        <w:rPr>
          <w:rFonts w:ascii="Garamond" w:eastAsia="Times New Roman" w:hAnsi="Garamond" w:cs="Times New Roman"/>
          <w:color w:val="000000"/>
          <w:sz w:val="30"/>
          <w:szCs w:val="30"/>
          <w:lang w:eastAsia="it-IT"/>
        </w:rPr>
        <w:t>, in quanto </w:t>
      </w:r>
      <w:r w:rsidRPr="004B4E20">
        <w:rPr>
          <w:rFonts w:ascii="Garamond" w:eastAsia="Times New Roman" w:hAnsi="Garamond" w:cs="Times New Roman"/>
          <w:i/>
          <w:iCs/>
          <w:color w:val="000000"/>
          <w:sz w:val="30"/>
          <w:szCs w:val="30"/>
          <w:lang w:eastAsia="it-IT"/>
        </w:rPr>
        <w:t>derogante alla regola generale</w:t>
      </w:r>
      <w:r w:rsidRPr="004B4E20">
        <w:rPr>
          <w:rFonts w:ascii="Garamond" w:eastAsia="Times New Roman" w:hAnsi="Garamond" w:cs="Times New Roman"/>
          <w:color w:val="000000"/>
          <w:sz w:val="30"/>
          <w:szCs w:val="30"/>
          <w:lang w:eastAsia="it-IT"/>
        </w:rPr>
        <w:t xml:space="preserve"> per cui ogni domanda deve essere proposta dal singolo titolare della separata azione (cfr. art. 40 cod. proc. </w:t>
      </w:r>
      <w:proofErr w:type="spellStart"/>
      <w:r w:rsidRPr="004B4E20">
        <w:rPr>
          <w:rFonts w:ascii="Garamond" w:eastAsia="Times New Roman" w:hAnsi="Garamond" w:cs="Times New Roman"/>
          <w:color w:val="000000"/>
          <w:sz w:val="30"/>
          <w:szCs w:val="30"/>
          <w:lang w:eastAsia="it-IT"/>
        </w:rPr>
        <w:t>amm</w:t>
      </w:r>
      <w:proofErr w:type="spellEnd"/>
      <w:r w:rsidRPr="004B4E20">
        <w:rPr>
          <w:rFonts w:ascii="Garamond" w:eastAsia="Times New Roman" w:hAnsi="Garamond" w:cs="Times New Roman"/>
          <w:color w:val="000000"/>
          <w:sz w:val="30"/>
          <w:szCs w:val="30"/>
          <w:lang w:eastAsia="it-IT"/>
        </w:rPr>
        <w:t>.) – la acclarata carenza dei presupposti avrebbe potuto essere </w:t>
      </w:r>
      <w:r w:rsidRPr="004B4E20">
        <w:rPr>
          <w:rFonts w:ascii="Garamond" w:eastAsia="Times New Roman" w:hAnsi="Garamond" w:cs="Times New Roman"/>
          <w:i/>
          <w:iCs/>
          <w:color w:val="000000"/>
          <w:sz w:val="30"/>
          <w:szCs w:val="30"/>
          <w:lang w:eastAsia="it-IT"/>
        </w:rPr>
        <w:t>sanata</w:t>
      </w:r>
      <w:r w:rsidRPr="004B4E20">
        <w:rPr>
          <w:rFonts w:ascii="Garamond" w:eastAsia="Times New Roman" w:hAnsi="Garamond" w:cs="Times New Roman"/>
          <w:color w:val="000000"/>
          <w:sz w:val="30"/>
          <w:szCs w:val="30"/>
          <w:lang w:eastAsia="it-IT"/>
        </w:rPr>
        <w:t xml:space="preserve">, invocando </w:t>
      </w:r>
      <w:proofErr w:type="gramStart"/>
      <w:r w:rsidRPr="004B4E20">
        <w:rPr>
          <w:rFonts w:ascii="Garamond" w:eastAsia="Times New Roman" w:hAnsi="Garamond" w:cs="Times New Roman"/>
          <w:color w:val="000000"/>
          <w:sz w:val="30"/>
          <w:szCs w:val="30"/>
          <w:lang w:eastAsia="it-IT"/>
        </w:rPr>
        <w:t>all’uopo</w:t>
      </w:r>
      <w:proofErr w:type="gramEnd"/>
      <w:r w:rsidRPr="004B4E20">
        <w:rPr>
          <w:rFonts w:ascii="Garamond" w:eastAsia="Times New Roman" w:hAnsi="Garamond" w:cs="Times New Roman"/>
          <w:color w:val="000000"/>
          <w:sz w:val="30"/>
          <w:szCs w:val="30"/>
          <w:lang w:eastAsia="it-IT"/>
        </w:rPr>
        <w:t>, erroneamente, il canone conservativo.</w:t>
      </w:r>
    </w:p>
    <w:p w14:paraId="0A9E338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4.1.- Il motivo non è fondato.</w:t>
      </w:r>
    </w:p>
    <w:p w14:paraId="722B7990"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lastRenderedPageBreak/>
        <w:t>La giurisprudenza consolidata ammette il ricorso c.d. collettivo, ossia il ricorso presentato contestualmente da più soggetti, subordinandone l’ammissibilità alla ricorrenza della duplice condizione: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della assenza di conflitto, anche solo potenziale, tra le posizioni dei vari ricorrenti;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della omogeneità di tali posizioni, sia in relazione al </w:t>
      </w:r>
      <w:proofErr w:type="spellStart"/>
      <w:r w:rsidRPr="004B4E20">
        <w:rPr>
          <w:rFonts w:ascii="Garamond" w:eastAsia="Times New Roman" w:hAnsi="Garamond" w:cs="Times New Roman"/>
          <w:i/>
          <w:iCs/>
          <w:color w:val="000000"/>
          <w:sz w:val="30"/>
          <w:szCs w:val="30"/>
          <w:lang w:eastAsia="it-IT"/>
        </w:rPr>
        <w:t>petitum</w:t>
      </w:r>
      <w:proofErr w:type="spellEnd"/>
      <w:r w:rsidRPr="004B4E20">
        <w:rPr>
          <w:rFonts w:ascii="Garamond" w:eastAsia="Times New Roman" w:hAnsi="Garamond" w:cs="Times New Roman"/>
          <w:i/>
          <w:iCs/>
          <w:color w:val="000000"/>
          <w:sz w:val="30"/>
          <w:szCs w:val="30"/>
          <w:lang w:eastAsia="it-IT"/>
        </w:rPr>
        <w:t> </w:t>
      </w:r>
      <w:r w:rsidRPr="004B4E20">
        <w:rPr>
          <w:rFonts w:ascii="Garamond" w:eastAsia="Times New Roman" w:hAnsi="Garamond" w:cs="Times New Roman"/>
          <w:color w:val="000000"/>
          <w:sz w:val="30"/>
          <w:szCs w:val="30"/>
          <w:lang w:eastAsia="it-IT"/>
        </w:rPr>
        <w:t>che alla </w:t>
      </w:r>
      <w:r w:rsidRPr="004B4E20">
        <w:rPr>
          <w:rFonts w:ascii="Garamond" w:eastAsia="Times New Roman" w:hAnsi="Garamond" w:cs="Times New Roman"/>
          <w:i/>
          <w:iCs/>
          <w:color w:val="000000"/>
          <w:sz w:val="30"/>
          <w:szCs w:val="30"/>
          <w:lang w:eastAsia="it-IT"/>
        </w:rPr>
        <w:t xml:space="preserve">causa </w:t>
      </w:r>
      <w:proofErr w:type="spellStart"/>
      <w:r w:rsidRPr="004B4E20">
        <w:rPr>
          <w:rFonts w:ascii="Garamond" w:eastAsia="Times New Roman" w:hAnsi="Garamond" w:cs="Times New Roman"/>
          <w:i/>
          <w:iCs/>
          <w:color w:val="000000"/>
          <w:sz w:val="30"/>
          <w:szCs w:val="30"/>
          <w:lang w:eastAsia="it-IT"/>
        </w:rPr>
        <w:t>petendi</w:t>
      </w:r>
      <w:proofErr w:type="spellEnd"/>
      <w:r w:rsidRPr="004B4E20">
        <w:rPr>
          <w:rFonts w:ascii="Garamond" w:eastAsia="Times New Roman" w:hAnsi="Garamond" w:cs="Times New Roman"/>
          <w:i/>
          <w:iCs/>
          <w:color w:val="000000"/>
          <w:sz w:val="30"/>
          <w:szCs w:val="30"/>
          <w:lang w:eastAsia="it-IT"/>
        </w:rPr>
        <w:t>, </w:t>
      </w:r>
      <w:r w:rsidRPr="004B4E20">
        <w:rPr>
          <w:rFonts w:ascii="Garamond" w:eastAsia="Times New Roman" w:hAnsi="Garamond" w:cs="Times New Roman"/>
          <w:color w:val="000000"/>
          <w:sz w:val="30"/>
          <w:szCs w:val="30"/>
          <w:lang w:eastAsia="it-IT"/>
        </w:rPr>
        <w:t>sì che le domande proposte siano identiche nell'oggetto, gli atti impugnati abbiano, anche quando semplicemente connessi, lo stesso contenuto e vengano censurati per gli stessi motivi (Cons. Stato, sez. II, 4 maggio 2020, n. 2839; Id., sez. III, 18 settembre 2019, n. 6215; Id., sez. III, 21 aprile 2017, n. 1866).</w:t>
      </w:r>
    </w:p>
    <w:p w14:paraId="08E37A02"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Il fondamento della regola è da rinvenire nel principio di </w:t>
      </w:r>
      <w:r w:rsidRPr="004B4E20">
        <w:rPr>
          <w:rFonts w:ascii="Garamond" w:eastAsia="Times New Roman" w:hAnsi="Garamond" w:cs="Times New Roman"/>
          <w:i/>
          <w:iCs/>
          <w:color w:val="000000"/>
          <w:sz w:val="30"/>
          <w:szCs w:val="30"/>
          <w:lang w:eastAsia="it-IT"/>
        </w:rPr>
        <w:t>economia processuale </w:t>
      </w:r>
      <w:r w:rsidRPr="004B4E20">
        <w:rPr>
          <w:rFonts w:ascii="Garamond" w:eastAsia="Times New Roman" w:hAnsi="Garamond" w:cs="Times New Roman"/>
          <w:color w:val="000000"/>
          <w:sz w:val="30"/>
          <w:szCs w:val="30"/>
          <w:lang w:eastAsia="it-IT"/>
        </w:rPr>
        <w:t>(Cons. Stato, sez. III, 16 agosto 2019, n. 5728), che trae alimento dal rilievo che le diverse domande, in quanto indirizzate avverso i medesimi provvedimenti, sono avvinte da uno </w:t>
      </w:r>
      <w:r w:rsidRPr="004B4E20">
        <w:rPr>
          <w:rFonts w:ascii="Garamond" w:eastAsia="Times New Roman" w:hAnsi="Garamond" w:cs="Times New Roman"/>
          <w:i/>
          <w:iCs/>
          <w:color w:val="000000"/>
          <w:sz w:val="30"/>
          <w:szCs w:val="30"/>
          <w:lang w:eastAsia="it-IT"/>
        </w:rPr>
        <w:t>stretto nesso</w:t>
      </w:r>
      <w:r w:rsidRPr="004B4E20">
        <w:rPr>
          <w:rFonts w:ascii="Garamond" w:eastAsia="Times New Roman" w:hAnsi="Garamond" w:cs="Times New Roman"/>
          <w:color w:val="000000"/>
          <w:sz w:val="30"/>
          <w:szCs w:val="30"/>
          <w:lang w:eastAsia="it-IT"/>
        </w:rPr>
        <w:t> di </w:t>
      </w:r>
      <w:r w:rsidRPr="004B4E20">
        <w:rPr>
          <w:rFonts w:ascii="Garamond" w:eastAsia="Times New Roman" w:hAnsi="Garamond" w:cs="Times New Roman"/>
          <w:i/>
          <w:iCs/>
          <w:color w:val="000000"/>
          <w:sz w:val="30"/>
          <w:szCs w:val="30"/>
          <w:lang w:eastAsia="it-IT"/>
        </w:rPr>
        <w:t>connessione oggettiva</w:t>
      </w:r>
      <w:r w:rsidRPr="004B4E20">
        <w:rPr>
          <w:rFonts w:ascii="Garamond" w:eastAsia="Times New Roman" w:hAnsi="Garamond" w:cs="Times New Roman"/>
          <w:color w:val="000000"/>
          <w:sz w:val="30"/>
          <w:szCs w:val="30"/>
          <w:lang w:eastAsia="it-IT"/>
        </w:rPr>
        <w:t>, che – legittimando la riunione </w:t>
      </w:r>
      <w:r w:rsidRPr="004B4E20">
        <w:rPr>
          <w:rFonts w:ascii="Garamond" w:eastAsia="Times New Roman" w:hAnsi="Garamond" w:cs="Times New Roman"/>
          <w:i/>
          <w:iCs/>
          <w:color w:val="000000"/>
          <w:sz w:val="30"/>
          <w:szCs w:val="30"/>
          <w:lang w:eastAsia="it-IT"/>
        </w:rPr>
        <w:t>a posteriori </w:t>
      </w:r>
      <w:r w:rsidRPr="004B4E20">
        <w:rPr>
          <w:rFonts w:ascii="Garamond" w:eastAsia="Times New Roman" w:hAnsi="Garamond" w:cs="Times New Roman"/>
          <w:color w:val="000000"/>
          <w:sz w:val="30"/>
          <w:szCs w:val="30"/>
          <w:lang w:eastAsia="it-IT"/>
        </w:rPr>
        <w:t xml:space="preserve">(cfr. art. 70 cod. proc. </w:t>
      </w:r>
      <w:proofErr w:type="spellStart"/>
      <w:r w:rsidRPr="004B4E20">
        <w:rPr>
          <w:rFonts w:ascii="Garamond" w:eastAsia="Times New Roman" w:hAnsi="Garamond" w:cs="Times New Roman"/>
          <w:color w:val="000000"/>
          <w:sz w:val="30"/>
          <w:szCs w:val="30"/>
          <w:lang w:eastAsia="it-IT"/>
        </w:rPr>
        <w:t>amm</w:t>
      </w:r>
      <w:proofErr w:type="spellEnd"/>
      <w:r w:rsidRPr="004B4E20">
        <w:rPr>
          <w:rFonts w:ascii="Garamond" w:eastAsia="Times New Roman" w:hAnsi="Garamond" w:cs="Times New Roman"/>
          <w:color w:val="000000"/>
          <w:sz w:val="30"/>
          <w:szCs w:val="30"/>
          <w:lang w:eastAsia="it-IT"/>
        </w:rPr>
        <w:t xml:space="preserve">.) – giustifica </w:t>
      </w:r>
      <w:proofErr w:type="gramStart"/>
      <w:r w:rsidRPr="004B4E20">
        <w:rPr>
          <w:rFonts w:ascii="Garamond" w:eastAsia="Times New Roman" w:hAnsi="Garamond" w:cs="Times New Roman"/>
          <w:color w:val="000000"/>
          <w:sz w:val="30"/>
          <w:szCs w:val="30"/>
          <w:lang w:eastAsia="it-IT"/>
        </w:rPr>
        <w:t>per ciò</w:t>
      </w:r>
      <w:proofErr w:type="gramEnd"/>
      <w:r w:rsidRPr="004B4E20">
        <w:rPr>
          <w:rFonts w:ascii="Garamond" w:eastAsia="Times New Roman" w:hAnsi="Garamond" w:cs="Times New Roman"/>
          <w:color w:val="000000"/>
          <w:sz w:val="30"/>
          <w:szCs w:val="30"/>
          <w:lang w:eastAsia="it-IT"/>
        </w:rPr>
        <w:t xml:space="preserve"> l’incipitario </w:t>
      </w:r>
      <w:r w:rsidRPr="004B4E20">
        <w:rPr>
          <w:rFonts w:ascii="Garamond" w:eastAsia="Times New Roman" w:hAnsi="Garamond" w:cs="Times New Roman"/>
          <w:i/>
          <w:iCs/>
          <w:color w:val="000000"/>
          <w:sz w:val="30"/>
          <w:szCs w:val="30"/>
          <w:lang w:eastAsia="it-IT"/>
        </w:rPr>
        <w:t>cumulo soggettivo</w:t>
      </w:r>
      <w:r w:rsidRPr="004B4E20">
        <w:rPr>
          <w:rFonts w:ascii="Garamond" w:eastAsia="Times New Roman" w:hAnsi="Garamond" w:cs="Times New Roman"/>
          <w:color w:val="000000"/>
          <w:sz w:val="30"/>
          <w:szCs w:val="30"/>
          <w:lang w:eastAsia="it-IT"/>
        </w:rPr>
        <w:t>.</w:t>
      </w:r>
    </w:p>
    <w:p w14:paraId="19CC596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Proprio perché si tratta di principio </w:t>
      </w:r>
      <w:r w:rsidRPr="004B4E20">
        <w:rPr>
          <w:rFonts w:ascii="Garamond" w:eastAsia="Times New Roman" w:hAnsi="Garamond" w:cs="Times New Roman"/>
          <w:i/>
          <w:iCs/>
          <w:color w:val="000000"/>
          <w:sz w:val="30"/>
          <w:szCs w:val="30"/>
          <w:lang w:eastAsia="it-IT"/>
        </w:rPr>
        <w:t>non assoluto</w:t>
      </w:r>
      <w:r w:rsidRPr="004B4E20">
        <w:rPr>
          <w:rFonts w:ascii="Garamond" w:eastAsia="Times New Roman" w:hAnsi="Garamond" w:cs="Times New Roman"/>
          <w:color w:val="000000"/>
          <w:sz w:val="30"/>
          <w:szCs w:val="30"/>
          <w:lang w:eastAsia="it-IT"/>
        </w:rPr>
        <w:t>, esso cede a fronte della </w:t>
      </w:r>
      <w:r w:rsidRPr="004B4E20">
        <w:rPr>
          <w:rFonts w:ascii="Garamond" w:eastAsia="Times New Roman" w:hAnsi="Garamond" w:cs="Times New Roman"/>
          <w:i/>
          <w:iCs/>
          <w:color w:val="000000"/>
          <w:sz w:val="30"/>
          <w:szCs w:val="30"/>
          <w:lang w:eastAsia="it-IT"/>
        </w:rPr>
        <w:t>eterogeneità</w:t>
      </w:r>
      <w:r w:rsidRPr="004B4E20">
        <w:rPr>
          <w:rFonts w:ascii="Garamond" w:eastAsia="Times New Roman" w:hAnsi="Garamond" w:cs="Times New Roman"/>
          <w:color w:val="000000"/>
          <w:sz w:val="30"/>
          <w:szCs w:val="30"/>
          <w:lang w:eastAsia="it-IT"/>
        </w:rPr>
        <w:t> delle posizioni soggettive, che non consenta una obiettiva e certa perimetrazione del </w:t>
      </w:r>
      <w:r w:rsidRPr="004B4E20">
        <w:rPr>
          <w:rFonts w:ascii="Garamond" w:eastAsia="Times New Roman" w:hAnsi="Garamond" w:cs="Times New Roman"/>
          <w:i/>
          <w:iCs/>
          <w:color w:val="000000"/>
          <w:sz w:val="30"/>
          <w:szCs w:val="30"/>
          <w:lang w:eastAsia="it-IT"/>
        </w:rPr>
        <w:t>thema decidendum </w:t>
      </w:r>
      <w:r w:rsidRPr="004B4E20">
        <w:rPr>
          <w:rFonts w:ascii="Garamond" w:eastAsia="Times New Roman" w:hAnsi="Garamond" w:cs="Times New Roman"/>
          <w:color w:val="000000"/>
          <w:sz w:val="30"/>
          <w:szCs w:val="30"/>
          <w:lang w:eastAsia="it-IT"/>
        </w:rPr>
        <w:t>e dell’oggetto del giudizio, ovvero prospetti una potenziale situazione di incompatibilità delle formalizzate pretese.</w:t>
      </w:r>
    </w:p>
    <w:p w14:paraId="4F8E5A2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Ne discende allora:</w:t>
      </w:r>
    </w:p>
    <w:p w14:paraId="23253135"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che, per un verso, gli evidenziati limiti di ammissibilità del ricorso collettivo sono, in realtà, limiti </w:t>
      </w:r>
      <w:r w:rsidRPr="004B4E20">
        <w:rPr>
          <w:rFonts w:ascii="Garamond" w:eastAsia="Times New Roman" w:hAnsi="Garamond" w:cs="Times New Roman"/>
          <w:i/>
          <w:iCs/>
          <w:color w:val="000000"/>
          <w:sz w:val="30"/>
          <w:szCs w:val="30"/>
          <w:lang w:eastAsia="it-IT"/>
        </w:rPr>
        <w:t>non formali</w:t>
      </w:r>
      <w:r w:rsidRPr="004B4E20">
        <w:rPr>
          <w:rFonts w:ascii="Garamond" w:eastAsia="Times New Roman" w:hAnsi="Garamond" w:cs="Times New Roman"/>
          <w:color w:val="000000"/>
          <w:sz w:val="30"/>
          <w:szCs w:val="30"/>
          <w:lang w:eastAsia="it-IT"/>
        </w:rPr>
        <w:t> del </w:t>
      </w:r>
      <w:r w:rsidRPr="004B4E20">
        <w:rPr>
          <w:rFonts w:ascii="Garamond" w:eastAsia="Times New Roman" w:hAnsi="Garamond" w:cs="Times New Roman"/>
          <w:i/>
          <w:iCs/>
          <w:color w:val="000000"/>
          <w:sz w:val="30"/>
          <w:szCs w:val="30"/>
          <w:lang w:eastAsia="it-IT"/>
        </w:rPr>
        <w:t>cumulo soggettivo volontario di domande </w:t>
      </w:r>
      <w:r w:rsidRPr="004B4E20">
        <w:rPr>
          <w:rFonts w:ascii="Garamond" w:eastAsia="Times New Roman" w:hAnsi="Garamond" w:cs="Times New Roman"/>
          <w:color w:val="000000"/>
          <w:sz w:val="30"/>
          <w:szCs w:val="30"/>
          <w:lang w:eastAsia="it-IT"/>
        </w:rPr>
        <w:t>sostanzialmente </w:t>
      </w:r>
      <w:r w:rsidRPr="004B4E20">
        <w:rPr>
          <w:rFonts w:ascii="Garamond" w:eastAsia="Times New Roman" w:hAnsi="Garamond" w:cs="Times New Roman"/>
          <w:i/>
          <w:iCs/>
          <w:color w:val="000000"/>
          <w:sz w:val="30"/>
          <w:szCs w:val="30"/>
          <w:lang w:eastAsia="it-IT"/>
        </w:rPr>
        <w:t>autonome</w:t>
      </w:r>
      <w:r w:rsidRPr="004B4E20">
        <w:rPr>
          <w:rFonts w:ascii="Garamond" w:eastAsia="Times New Roman" w:hAnsi="Garamond" w:cs="Times New Roman"/>
          <w:color w:val="000000"/>
          <w:sz w:val="30"/>
          <w:szCs w:val="30"/>
          <w:lang w:eastAsia="it-IT"/>
        </w:rPr>
        <w:t>, ancorché </w:t>
      </w:r>
      <w:r w:rsidRPr="004B4E20">
        <w:rPr>
          <w:rFonts w:ascii="Garamond" w:eastAsia="Times New Roman" w:hAnsi="Garamond" w:cs="Times New Roman"/>
          <w:i/>
          <w:iCs/>
          <w:color w:val="000000"/>
          <w:sz w:val="30"/>
          <w:szCs w:val="30"/>
          <w:lang w:eastAsia="it-IT"/>
        </w:rPr>
        <w:t>oggettivamente connesse</w:t>
      </w:r>
      <w:r w:rsidRPr="004B4E20">
        <w:rPr>
          <w:rFonts w:ascii="Garamond" w:eastAsia="Times New Roman" w:hAnsi="Garamond" w:cs="Times New Roman"/>
          <w:color w:val="000000"/>
          <w:sz w:val="30"/>
          <w:szCs w:val="30"/>
          <w:lang w:eastAsia="it-IT"/>
        </w:rPr>
        <w:t>;</w:t>
      </w:r>
    </w:p>
    <w:p w14:paraId="64DD8A14"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che, perciò, sotto il profilo dell’</w:t>
      </w:r>
      <w:r w:rsidRPr="004B4E20">
        <w:rPr>
          <w:rFonts w:ascii="Garamond" w:eastAsia="Times New Roman" w:hAnsi="Garamond" w:cs="Times New Roman"/>
          <w:i/>
          <w:iCs/>
          <w:color w:val="000000"/>
          <w:sz w:val="30"/>
          <w:szCs w:val="30"/>
          <w:lang w:eastAsia="it-IT"/>
        </w:rPr>
        <w:t xml:space="preserve">ordo </w:t>
      </w:r>
      <w:proofErr w:type="spellStart"/>
      <w:r w:rsidRPr="004B4E20">
        <w:rPr>
          <w:rFonts w:ascii="Garamond" w:eastAsia="Times New Roman" w:hAnsi="Garamond" w:cs="Times New Roman"/>
          <w:i/>
          <w:iCs/>
          <w:color w:val="000000"/>
          <w:sz w:val="30"/>
          <w:szCs w:val="30"/>
          <w:lang w:eastAsia="it-IT"/>
        </w:rPr>
        <w:t>questionum</w:t>
      </w:r>
      <w:proofErr w:type="spellEnd"/>
      <w:r w:rsidRPr="004B4E20">
        <w:rPr>
          <w:rFonts w:ascii="Garamond" w:eastAsia="Times New Roman" w:hAnsi="Garamond" w:cs="Times New Roman"/>
          <w:color w:val="000000"/>
          <w:sz w:val="30"/>
          <w:szCs w:val="30"/>
          <w:lang w:eastAsia="it-IT"/>
        </w:rPr>
        <w:t>, la priorità logica compete al vaglio di </w:t>
      </w:r>
      <w:r w:rsidRPr="004B4E20">
        <w:rPr>
          <w:rFonts w:ascii="Garamond" w:eastAsia="Times New Roman" w:hAnsi="Garamond" w:cs="Times New Roman"/>
          <w:i/>
          <w:iCs/>
          <w:color w:val="000000"/>
          <w:sz w:val="30"/>
          <w:szCs w:val="30"/>
          <w:lang w:eastAsia="it-IT"/>
        </w:rPr>
        <w:t>ammissibilità del cumulo</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in quanto tale</w:t>
      </w:r>
      <w:r w:rsidRPr="004B4E20">
        <w:rPr>
          <w:rFonts w:ascii="Garamond" w:eastAsia="Times New Roman" w:hAnsi="Garamond" w:cs="Times New Roman"/>
          <w:color w:val="000000"/>
          <w:sz w:val="30"/>
          <w:szCs w:val="30"/>
          <w:lang w:eastAsia="it-IT"/>
        </w:rPr>
        <w:t>, prima che delle condizioni delle (</w:t>
      </w:r>
      <w:r w:rsidRPr="004B4E20">
        <w:rPr>
          <w:rFonts w:ascii="Garamond" w:eastAsia="Times New Roman" w:hAnsi="Garamond" w:cs="Times New Roman"/>
          <w:i/>
          <w:iCs/>
          <w:color w:val="000000"/>
          <w:sz w:val="30"/>
          <w:szCs w:val="30"/>
          <w:lang w:eastAsia="it-IT"/>
        </w:rPr>
        <w:t>distinte ed autonome</w:t>
      </w:r>
      <w:r w:rsidRPr="004B4E20">
        <w:rPr>
          <w:rFonts w:ascii="Garamond" w:eastAsia="Times New Roman" w:hAnsi="Garamond" w:cs="Times New Roman"/>
          <w:color w:val="000000"/>
          <w:sz w:val="30"/>
          <w:szCs w:val="30"/>
          <w:lang w:eastAsia="it-IT"/>
        </w:rPr>
        <w:t>) azioni;</w:t>
      </w:r>
    </w:p>
    <w:p w14:paraId="22071A94"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che, quindi, allorché il ricorso collettivo non risulti </w:t>
      </w:r>
      <w:r w:rsidRPr="004B4E20">
        <w:rPr>
          <w:rFonts w:ascii="Garamond" w:eastAsia="Times New Roman" w:hAnsi="Garamond" w:cs="Times New Roman"/>
          <w:i/>
          <w:iCs/>
          <w:color w:val="000000"/>
          <w:sz w:val="30"/>
          <w:szCs w:val="30"/>
          <w:lang w:eastAsia="it-IT"/>
        </w:rPr>
        <w:t>di per sé </w:t>
      </w:r>
      <w:r w:rsidRPr="004B4E20">
        <w:rPr>
          <w:rFonts w:ascii="Garamond" w:eastAsia="Times New Roman" w:hAnsi="Garamond" w:cs="Times New Roman"/>
          <w:color w:val="000000"/>
          <w:sz w:val="30"/>
          <w:szCs w:val="30"/>
          <w:lang w:eastAsia="it-IT"/>
        </w:rPr>
        <w:t>(cioè, di nuovo, in quanto </w:t>
      </w:r>
      <w:r w:rsidRPr="004B4E20">
        <w:rPr>
          <w:rFonts w:ascii="Garamond" w:eastAsia="Times New Roman" w:hAnsi="Garamond" w:cs="Times New Roman"/>
          <w:i/>
          <w:iCs/>
          <w:color w:val="000000"/>
          <w:sz w:val="30"/>
          <w:szCs w:val="30"/>
          <w:lang w:eastAsia="it-IT"/>
        </w:rPr>
        <w:t>cumulo di domande connesse</w:t>
      </w:r>
      <w:r w:rsidRPr="004B4E20">
        <w:rPr>
          <w:rFonts w:ascii="Garamond" w:eastAsia="Times New Roman" w:hAnsi="Garamond" w:cs="Times New Roman"/>
          <w:color w:val="000000"/>
          <w:sz w:val="30"/>
          <w:szCs w:val="30"/>
          <w:lang w:eastAsia="it-IT"/>
        </w:rPr>
        <w:t xml:space="preserve">, identiche e non conflittuali) inammissibile, </w:t>
      </w:r>
      <w:r w:rsidRPr="004B4E20">
        <w:rPr>
          <w:rFonts w:ascii="Garamond" w:eastAsia="Times New Roman" w:hAnsi="Garamond" w:cs="Times New Roman"/>
          <w:color w:val="000000"/>
          <w:sz w:val="30"/>
          <w:szCs w:val="30"/>
          <w:lang w:eastAsia="it-IT"/>
        </w:rPr>
        <w:lastRenderedPageBreak/>
        <w:t>l’eventuale ragione di inammissibilità della singola </w:t>
      </w:r>
      <w:r w:rsidRPr="004B4E20">
        <w:rPr>
          <w:rFonts w:ascii="Garamond" w:eastAsia="Times New Roman" w:hAnsi="Garamond" w:cs="Times New Roman"/>
          <w:i/>
          <w:iCs/>
          <w:color w:val="000000"/>
          <w:sz w:val="30"/>
          <w:szCs w:val="30"/>
          <w:lang w:eastAsia="it-IT"/>
        </w:rPr>
        <w:t>domanda</w:t>
      </w:r>
      <w:r w:rsidRPr="004B4E20">
        <w:rPr>
          <w:rFonts w:ascii="Garamond" w:eastAsia="Times New Roman" w:hAnsi="Garamond" w:cs="Times New Roman"/>
          <w:color w:val="000000"/>
          <w:sz w:val="30"/>
          <w:szCs w:val="30"/>
          <w:lang w:eastAsia="it-IT"/>
        </w:rPr>
        <w:t> (per difetto delle relative condizioni, sotto la specie dell’interesse o della legittimazione) non incide, in forza del principio conservativo per cui </w:t>
      </w:r>
      <w:r w:rsidRPr="004B4E20">
        <w:rPr>
          <w:rFonts w:ascii="Garamond" w:eastAsia="Times New Roman" w:hAnsi="Garamond" w:cs="Times New Roman"/>
          <w:i/>
          <w:iCs/>
          <w:color w:val="000000"/>
          <w:sz w:val="30"/>
          <w:szCs w:val="30"/>
          <w:lang w:eastAsia="it-IT"/>
        </w:rPr>
        <w:t xml:space="preserve">utile per inutile non </w:t>
      </w:r>
      <w:proofErr w:type="spellStart"/>
      <w:r w:rsidRPr="004B4E20">
        <w:rPr>
          <w:rFonts w:ascii="Garamond" w:eastAsia="Times New Roman" w:hAnsi="Garamond" w:cs="Times New Roman"/>
          <w:i/>
          <w:iCs/>
          <w:color w:val="000000"/>
          <w:sz w:val="30"/>
          <w:szCs w:val="30"/>
          <w:lang w:eastAsia="it-IT"/>
        </w:rPr>
        <w:t>vitiatur</w:t>
      </w:r>
      <w:proofErr w:type="spellEnd"/>
      <w:r w:rsidRPr="004B4E20">
        <w:rPr>
          <w:rFonts w:ascii="Garamond" w:eastAsia="Times New Roman" w:hAnsi="Garamond" w:cs="Times New Roman"/>
          <w:color w:val="000000"/>
          <w:sz w:val="30"/>
          <w:szCs w:val="30"/>
          <w:lang w:eastAsia="it-IT"/>
        </w:rPr>
        <w:t>, sulla autonomia delle altre.</w:t>
      </w:r>
    </w:p>
    <w:p w14:paraId="0593562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Nel caso di specie, perciò, correttamente il primo giudice, pur avendo ritenuto inammissibile la posizione del Fumagalli per difetto di personale legittimazione, ha salvaguardato la domanda congiuntamente formalizzata dai </w:t>
      </w:r>
      <w:proofErr w:type="spellStart"/>
      <w:r w:rsidRPr="004B4E20">
        <w:rPr>
          <w:rFonts w:ascii="Garamond" w:eastAsia="Times New Roman" w:hAnsi="Garamond" w:cs="Times New Roman"/>
          <w:color w:val="000000"/>
          <w:sz w:val="30"/>
          <w:szCs w:val="30"/>
          <w:lang w:eastAsia="it-IT"/>
        </w:rPr>
        <w:t>coricorrenti</w:t>
      </w:r>
      <w:proofErr w:type="spellEnd"/>
      <w:r w:rsidRPr="004B4E20">
        <w:rPr>
          <w:rFonts w:ascii="Garamond" w:eastAsia="Times New Roman" w:hAnsi="Garamond" w:cs="Times New Roman"/>
          <w:color w:val="000000"/>
          <w:sz w:val="30"/>
          <w:szCs w:val="30"/>
          <w:lang w:eastAsia="it-IT"/>
        </w:rPr>
        <w:t>.</w:t>
      </w:r>
    </w:p>
    <w:p w14:paraId="005D5E28"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5.- Con un secondo motivo di doglianza le parti appellanti lamentano violazione e falsa applicazione degli artt. 24, 103 e 113 Cost., degli artt. 35 e 39 cod. proc. </w:t>
      </w:r>
      <w:proofErr w:type="spellStart"/>
      <w:r w:rsidRPr="004B4E20">
        <w:rPr>
          <w:rFonts w:ascii="Garamond" w:eastAsia="Times New Roman" w:hAnsi="Garamond" w:cs="Times New Roman"/>
          <w:color w:val="000000"/>
          <w:sz w:val="30"/>
          <w:szCs w:val="30"/>
          <w:lang w:eastAsia="it-IT"/>
        </w:rPr>
        <w:t>amm</w:t>
      </w:r>
      <w:proofErr w:type="spellEnd"/>
      <w:r w:rsidRPr="004B4E20">
        <w:rPr>
          <w:rFonts w:ascii="Garamond" w:eastAsia="Times New Roman" w:hAnsi="Garamond" w:cs="Times New Roman"/>
          <w:color w:val="000000"/>
          <w:sz w:val="30"/>
          <w:szCs w:val="30"/>
          <w:lang w:eastAsia="it-IT"/>
        </w:rPr>
        <w:t>. e dell’art. 111 c.p.c., relativamente alla disattesa eccezione di inammissibilità del ricorso di primo grado per carenza di legittimazione ed interesse ad agire.</w:t>
      </w:r>
    </w:p>
    <w:p w14:paraId="18F1D04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5.1.- Il motivo non è fondato.</w:t>
      </w:r>
    </w:p>
    <w:p w14:paraId="0FD083B9"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Non erra il primo giudice nel ritenere che la legittimazione a far valere in giudizio la violazione delle regole che presidiano allo sviluppo del principio di concorrenza debba essere riconosciuta, in termini non pregiudizialmente restrittivi, in capo a tutti gli operatori economici che, a qualunque titolo, si trovino ad operare nel settore di mercato interessato e che alleghino ragioni di pregiudizio, </w:t>
      </w:r>
      <w:r w:rsidRPr="004B4E20">
        <w:rPr>
          <w:rFonts w:ascii="Garamond" w:eastAsia="Times New Roman" w:hAnsi="Garamond" w:cs="Times New Roman"/>
          <w:i/>
          <w:iCs/>
          <w:color w:val="000000"/>
          <w:sz w:val="30"/>
          <w:szCs w:val="30"/>
          <w:lang w:eastAsia="it-IT"/>
        </w:rPr>
        <w:t>anche meramente potenziali purché non generiche ed indifferenziate</w:t>
      </w:r>
      <w:r w:rsidRPr="004B4E20">
        <w:rPr>
          <w:rFonts w:ascii="Garamond" w:eastAsia="Times New Roman" w:hAnsi="Garamond" w:cs="Times New Roman"/>
          <w:color w:val="000000"/>
          <w:sz w:val="30"/>
          <w:szCs w:val="30"/>
          <w:lang w:eastAsia="it-IT"/>
        </w:rPr>
        <w:t>, rinvenienti dalla prospettata alterazione del libero gioco della competizione economica.</w:t>
      </w:r>
    </w:p>
    <w:p w14:paraId="4D5A1413"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Inoltre, il fatto che le imprese ricorrenti non avrebbero mai potuto acquistare una partecipazione in A.E.B. s.p.a. (non potendo, con ciò, dolersi dei termini e della modalità della complessa ed articolata operazione societaria in contestazione, sotto il profilo della specifica restrizione dei meccanismi evidenziali di integrazione sociale) non toglie che – trattandosi comunque di operatori economici operanti, giusta le valorizzate risultanze camerali, nei rami della installazione, manutenzione e riparazione degli impianti idraulici, di riscaldamento e condizionamento dell’aria e del commercio di combustibili – non fossero privi di interesse a sollecitare il rispetto </w:t>
      </w:r>
      <w:r w:rsidRPr="004B4E20">
        <w:rPr>
          <w:rFonts w:ascii="Garamond" w:eastAsia="Times New Roman" w:hAnsi="Garamond" w:cs="Times New Roman"/>
          <w:color w:val="000000"/>
          <w:sz w:val="30"/>
          <w:szCs w:val="30"/>
          <w:lang w:eastAsia="it-IT"/>
        </w:rPr>
        <w:lastRenderedPageBreak/>
        <w:t>delle regole concorrenziali nel settore </w:t>
      </w:r>
      <w:r w:rsidRPr="004B4E20">
        <w:rPr>
          <w:rFonts w:ascii="Garamond" w:eastAsia="Times New Roman" w:hAnsi="Garamond" w:cs="Times New Roman"/>
          <w:i/>
          <w:iCs/>
          <w:color w:val="000000"/>
          <w:sz w:val="30"/>
          <w:szCs w:val="30"/>
          <w:lang w:eastAsia="it-IT"/>
        </w:rPr>
        <w:t>multiutility,</w:t>
      </w:r>
      <w:r w:rsidRPr="004B4E20">
        <w:rPr>
          <w:rFonts w:ascii="Garamond" w:eastAsia="Times New Roman" w:hAnsi="Garamond" w:cs="Times New Roman"/>
          <w:color w:val="000000"/>
          <w:sz w:val="30"/>
          <w:szCs w:val="30"/>
          <w:lang w:eastAsia="it-IT"/>
        </w:rPr>
        <w:t> avuto riguardo alle future gare per l’affidamento del servizio della distribuzione del gas naturale, sulle quali l’operazione di integrazione societaria ben avrebbe potuto prospetticamente dispiegare potenziali effetti pregiudizievoli.</w:t>
      </w:r>
    </w:p>
    <w:p w14:paraId="13C0EDF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6.- Con un terzo ordine di motivi le appellanti lamentano, nel merito, violazione e falsa applicazione degli artt. 1, 10 e 17 del d.lgs. n. 175/2016, dell’art. 5 del d.lgs. n. 50/2016 e dell’art. 46 cod. proc. </w:t>
      </w:r>
      <w:proofErr w:type="spellStart"/>
      <w:r w:rsidRPr="004B4E20">
        <w:rPr>
          <w:rFonts w:ascii="Garamond" w:eastAsia="Times New Roman" w:hAnsi="Garamond" w:cs="Times New Roman"/>
          <w:color w:val="000000"/>
          <w:sz w:val="30"/>
          <w:szCs w:val="30"/>
          <w:lang w:eastAsia="it-IT"/>
        </w:rPr>
        <w:t>amm</w:t>
      </w:r>
      <w:proofErr w:type="spellEnd"/>
      <w:r w:rsidRPr="004B4E20">
        <w:rPr>
          <w:rFonts w:ascii="Garamond" w:eastAsia="Times New Roman" w:hAnsi="Garamond" w:cs="Times New Roman"/>
          <w:color w:val="000000"/>
          <w:sz w:val="30"/>
          <w:szCs w:val="30"/>
          <w:lang w:eastAsia="it-IT"/>
        </w:rPr>
        <w:t>., in una a contraddittorietà intrinseca della motivazione ed omessa e/o erronea valutazione degli atti e dei documenti di causa.</w:t>
      </w:r>
    </w:p>
    <w:p w14:paraId="6B759FE0"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Trattandosi, in tesi, di operazione straordinaria </w:t>
      </w:r>
      <w:r w:rsidRPr="004B4E20">
        <w:rPr>
          <w:rFonts w:ascii="Garamond" w:eastAsia="Times New Roman" w:hAnsi="Garamond" w:cs="Times New Roman"/>
          <w:i/>
          <w:iCs/>
          <w:color w:val="000000"/>
          <w:sz w:val="30"/>
          <w:szCs w:val="30"/>
          <w:lang w:eastAsia="it-IT"/>
        </w:rPr>
        <w:t>di matrice integralmente privatistica</w:t>
      </w:r>
      <w:r w:rsidRPr="004B4E20">
        <w:rPr>
          <w:rFonts w:ascii="Garamond" w:eastAsia="Times New Roman" w:hAnsi="Garamond" w:cs="Times New Roman"/>
          <w:color w:val="000000"/>
          <w:sz w:val="30"/>
          <w:szCs w:val="30"/>
          <w:lang w:eastAsia="it-IT"/>
        </w:rPr>
        <w:t>, come tale disciplinata </w:t>
      </w:r>
      <w:r w:rsidRPr="004B4E20">
        <w:rPr>
          <w:rFonts w:ascii="Garamond" w:eastAsia="Times New Roman" w:hAnsi="Garamond" w:cs="Times New Roman"/>
          <w:i/>
          <w:iCs/>
          <w:color w:val="000000"/>
          <w:sz w:val="30"/>
          <w:szCs w:val="30"/>
          <w:lang w:eastAsia="it-IT"/>
        </w:rPr>
        <w:t>esclusivamente dalle norme del diritto societario</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ex </w:t>
      </w:r>
      <w:r w:rsidRPr="004B4E20">
        <w:rPr>
          <w:rFonts w:ascii="Garamond" w:eastAsia="Times New Roman" w:hAnsi="Garamond" w:cs="Times New Roman"/>
          <w:color w:val="000000"/>
          <w:sz w:val="30"/>
          <w:szCs w:val="30"/>
          <w:lang w:eastAsia="it-IT"/>
        </w:rPr>
        <w:t>art. 1, comma 3 d. lgs. n. 175/2016), nella assenza sia di </w:t>
      </w:r>
      <w:r w:rsidRPr="004B4E20">
        <w:rPr>
          <w:rFonts w:ascii="Garamond" w:eastAsia="Times New Roman" w:hAnsi="Garamond" w:cs="Times New Roman"/>
          <w:i/>
          <w:iCs/>
          <w:color w:val="000000"/>
          <w:sz w:val="30"/>
          <w:szCs w:val="30"/>
          <w:lang w:eastAsia="it-IT"/>
        </w:rPr>
        <w:t>cessione delle partecipazioni sociali pubbliche</w:t>
      </w:r>
      <w:r w:rsidRPr="004B4E20">
        <w:rPr>
          <w:rFonts w:ascii="Garamond" w:eastAsia="Times New Roman" w:hAnsi="Garamond" w:cs="Times New Roman"/>
          <w:color w:val="000000"/>
          <w:sz w:val="30"/>
          <w:szCs w:val="30"/>
          <w:lang w:eastAsia="it-IT"/>
        </w:rPr>
        <w:t> di AEB S.p.a. (art. 10 d. lgs. n. 175 cit.), sia di </w:t>
      </w:r>
      <w:proofErr w:type="spellStart"/>
      <w:r w:rsidRPr="004B4E20">
        <w:rPr>
          <w:rFonts w:ascii="Garamond" w:eastAsia="Times New Roman" w:hAnsi="Garamond" w:cs="Times New Roman"/>
          <w:i/>
          <w:iCs/>
          <w:color w:val="000000"/>
          <w:sz w:val="30"/>
          <w:szCs w:val="30"/>
          <w:lang w:eastAsia="it-IT"/>
        </w:rPr>
        <w:t>neocostituzione</w:t>
      </w:r>
      <w:proofErr w:type="spellEnd"/>
      <w:r w:rsidRPr="004B4E20">
        <w:rPr>
          <w:rFonts w:ascii="Garamond" w:eastAsia="Times New Roman" w:hAnsi="Garamond" w:cs="Times New Roman"/>
          <w:i/>
          <w:iCs/>
          <w:color w:val="000000"/>
          <w:sz w:val="30"/>
          <w:szCs w:val="30"/>
          <w:lang w:eastAsia="it-IT"/>
        </w:rPr>
        <w:t xml:space="preserve"> di una società mista</w:t>
      </w:r>
      <w:r w:rsidRPr="004B4E20">
        <w:rPr>
          <w:rFonts w:ascii="Garamond" w:eastAsia="Times New Roman" w:hAnsi="Garamond" w:cs="Times New Roman"/>
          <w:color w:val="000000"/>
          <w:sz w:val="30"/>
          <w:szCs w:val="30"/>
          <w:lang w:eastAsia="it-IT"/>
        </w:rPr>
        <w:t>, con selezione di un </w:t>
      </w:r>
      <w:r w:rsidRPr="004B4E20">
        <w:rPr>
          <w:rFonts w:ascii="Garamond" w:eastAsia="Times New Roman" w:hAnsi="Garamond" w:cs="Times New Roman"/>
          <w:i/>
          <w:iCs/>
          <w:color w:val="000000"/>
          <w:sz w:val="30"/>
          <w:szCs w:val="30"/>
          <w:lang w:eastAsia="it-IT"/>
        </w:rPr>
        <w:t>partner </w:t>
      </w:r>
      <w:r w:rsidRPr="004B4E20">
        <w:rPr>
          <w:rFonts w:ascii="Garamond" w:eastAsia="Times New Roman" w:hAnsi="Garamond" w:cs="Times New Roman"/>
          <w:color w:val="000000"/>
          <w:sz w:val="30"/>
          <w:szCs w:val="30"/>
          <w:lang w:eastAsia="it-IT"/>
        </w:rPr>
        <w:t xml:space="preserve">operativo privato (art. 17 </w:t>
      </w:r>
      <w:proofErr w:type="gramStart"/>
      <w:r w:rsidRPr="004B4E20">
        <w:rPr>
          <w:rFonts w:ascii="Garamond" w:eastAsia="Times New Roman" w:hAnsi="Garamond" w:cs="Times New Roman"/>
          <w:color w:val="000000"/>
          <w:sz w:val="30"/>
          <w:szCs w:val="30"/>
          <w:lang w:eastAsia="it-IT"/>
        </w:rPr>
        <w:t>d lgs</w:t>
      </w:r>
      <w:proofErr w:type="gramEnd"/>
      <w:r w:rsidRPr="004B4E20">
        <w:rPr>
          <w:rFonts w:ascii="Garamond" w:eastAsia="Times New Roman" w:hAnsi="Garamond" w:cs="Times New Roman"/>
          <w:color w:val="000000"/>
          <w:sz w:val="30"/>
          <w:szCs w:val="30"/>
          <w:lang w:eastAsia="it-IT"/>
        </w:rPr>
        <w:t>. cit.), erroneamente la sentenza avrebbe valorizzato, con </w:t>
      </w:r>
      <w:r w:rsidRPr="004B4E20">
        <w:rPr>
          <w:rFonts w:ascii="Garamond" w:eastAsia="Times New Roman" w:hAnsi="Garamond" w:cs="Times New Roman"/>
          <w:i/>
          <w:iCs/>
          <w:color w:val="000000"/>
          <w:sz w:val="30"/>
          <w:szCs w:val="30"/>
          <w:lang w:eastAsia="it-IT"/>
        </w:rPr>
        <w:t>negare l’infungibilità negoziale della programmata scissione</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e fusione</w:t>
      </w:r>
      <w:r w:rsidRPr="004B4E20">
        <w:rPr>
          <w:rFonts w:ascii="Garamond" w:eastAsia="Times New Roman" w:hAnsi="Garamond" w:cs="Times New Roman"/>
          <w:color w:val="000000"/>
          <w:sz w:val="30"/>
          <w:szCs w:val="30"/>
          <w:lang w:eastAsia="it-IT"/>
        </w:rPr>
        <w:t> sociale e con il postulare</w:t>
      </w:r>
      <w:r w:rsidRPr="004B4E20">
        <w:rPr>
          <w:rFonts w:ascii="Garamond" w:eastAsia="Times New Roman" w:hAnsi="Garamond" w:cs="Times New Roman"/>
          <w:i/>
          <w:iCs/>
          <w:color w:val="000000"/>
          <w:sz w:val="30"/>
          <w:szCs w:val="30"/>
          <w:lang w:eastAsia="it-IT"/>
        </w:rPr>
        <w:t xml:space="preserve"> vincoli operativi </w:t>
      </w:r>
      <w:proofErr w:type="spellStart"/>
      <w:r w:rsidRPr="004B4E20">
        <w:rPr>
          <w:rFonts w:ascii="Garamond" w:eastAsia="Times New Roman" w:hAnsi="Garamond" w:cs="Times New Roman"/>
          <w:i/>
          <w:iCs/>
          <w:color w:val="000000"/>
          <w:sz w:val="30"/>
          <w:szCs w:val="30"/>
          <w:lang w:eastAsia="it-IT"/>
        </w:rPr>
        <w:t>proconcorrenziali</w:t>
      </w:r>
      <w:proofErr w:type="spellEnd"/>
      <w:r w:rsidRPr="004B4E20">
        <w:rPr>
          <w:rFonts w:ascii="Garamond" w:eastAsia="Times New Roman" w:hAnsi="Garamond" w:cs="Times New Roman"/>
          <w:i/>
          <w:iCs/>
          <w:color w:val="000000"/>
          <w:sz w:val="30"/>
          <w:szCs w:val="30"/>
          <w:lang w:eastAsia="it-IT"/>
        </w:rPr>
        <w:t xml:space="preserve"> di matrice evidenziale</w:t>
      </w:r>
      <w:r w:rsidRPr="004B4E20">
        <w:rPr>
          <w:rFonts w:ascii="Garamond" w:eastAsia="Times New Roman" w:hAnsi="Garamond" w:cs="Times New Roman"/>
          <w:color w:val="000000"/>
          <w:sz w:val="30"/>
          <w:szCs w:val="30"/>
          <w:lang w:eastAsia="it-IT"/>
        </w:rPr>
        <w:t>, non pertinenti ed esorbitanti profili di ordine pubblicistico.</w:t>
      </w:r>
    </w:p>
    <w:p w14:paraId="1A834658"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6.1.- Il motivo non è fondato.</w:t>
      </w:r>
    </w:p>
    <w:p w14:paraId="392E5C1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Vale, anzitutto, chiarire, alla luce della narrativa in fatto che precede, i termini dell’operazione economica divisata, che ha realizzato una </w:t>
      </w:r>
      <w:r w:rsidRPr="004B4E20">
        <w:rPr>
          <w:rFonts w:ascii="Garamond" w:eastAsia="Times New Roman" w:hAnsi="Garamond" w:cs="Times New Roman"/>
          <w:i/>
          <w:iCs/>
          <w:color w:val="000000"/>
          <w:sz w:val="30"/>
          <w:szCs w:val="30"/>
          <w:lang w:eastAsia="it-IT"/>
        </w:rPr>
        <w:t>programmatica aggregazione industriale</w:t>
      </w:r>
      <w:r w:rsidRPr="004B4E20">
        <w:rPr>
          <w:rFonts w:ascii="Garamond" w:eastAsia="Times New Roman" w:hAnsi="Garamond" w:cs="Times New Roman"/>
          <w:color w:val="000000"/>
          <w:sz w:val="30"/>
          <w:szCs w:val="30"/>
          <w:lang w:eastAsia="it-IT"/>
        </w:rPr>
        <w:t> tra A2A s.p.a. e Ambiente Energia Brianza S.p.A., che è una società </w:t>
      </w:r>
      <w:r w:rsidRPr="004B4E20">
        <w:rPr>
          <w:rFonts w:ascii="Garamond" w:eastAsia="Times New Roman" w:hAnsi="Garamond" w:cs="Times New Roman"/>
          <w:i/>
          <w:iCs/>
          <w:color w:val="000000"/>
          <w:sz w:val="30"/>
          <w:szCs w:val="30"/>
          <w:lang w:eastAsia="it-IT"/>
        </w:rPr>
        <w:t>multiutility</w:t>
      </w:r>
      <w:r w:rsidRPr="004B4E20">
        <w:rPr>
          <w:rFonts w:ascii="Garamond" w:eastAsia="Times New Roman" w:hAnsi="Garamond" w:cs="Times New Roman"/>
          <w:color w:val="000000"/>
          <w:sz w:val="30"/>
          <w:szCs w:val="30"/>
          <w:lang w:eastAsia="it-IT"/>
        </w:rPr>
        <w:t xml:space="preserve"> industriale a totale partecipazione pubblica, operante in diversi settori, tra i quali quelli della distribuzione e della vendita del gas, dell’energia elettrica e del calore, e che gestisce, per il tramite di società pubbliche dalla stessa controllate, servizi economici di interesse generale, secondo il modulo dell’affidamento diretto </w:t>
      </w:r>
      <w:proofErr w:type="spellStart"/>
      <w:r w:rsidRPr="004B4E20">
        <w:rPr>
          <w:rFonts w:ascii="Garamond" w:eastAsia="Times New Roman" w:hAnsi="Garamond" w:cs="Times New Roman"/>
          <w:color w:val="000000"/>
          <w:sz w:val="30"/>
          <w:szCs w:val="30"/>
          <w:lang w:eastAsia="it-IT"/>
        </w:rPr>
        <w:t>dell’</w:t>
      </w:r>
      <w:r w:rsidRPr="004B4E20">
        <w:rPr>
          <w:rFonts w:ascii="Garamond" w:eastAsia="Times New Roman" w:hAnsi="Garamond" w:cs="Times New Roman"/>
          <w:i/>
          <w:iCs/>
          <w:color w:val="000000"/>
          <w:sz w:val="30"/>
          <w:szCs w:val="30"/>
          <w:lang w:eastAsia="it-IT"/>
        </w:rPr>
        <w:t>in</w:t>
      </w:r>
      <w:proofErr w:type="spellEnd"/>
      <w:r w:rsidRPr="004B4E20">
        <w:rPr>
          <w:rFonts w:ascii="Garamond" w:eastAsia="Times New Roman" w:hAnsi="Garamond" w:cs="Times New Roman"/>
          <w:i/>
          <w:iCs/>
          <w:color w:val="000000"/>
          <w:sz w:val="30"/>
          <w:szCs w:val="30"/>
          <w:lang w:eastAsia="it-IT"/>
        </w:rPr>
        <w:t xml:space="preserve"> house providing</w:t>
      </w:r>
      <w:r w:rsidRPr="004B4E20">
        <w:rPr>
          <w:rFonts w:ascii="Garamond" w:eastAsia="Times New Roman" w:hAnsi="Garamond" w:cs="Times New Roman"/>
          <w:color w:val="000000"/>
          <w:sz w:val="30"/>
          <w:szCs w:val="30"/>
          <w:lang w:eastAsia="it-IT"/>
        </w:rPr>
        <w:t>, in favore dei Comuni soci ubicati in provincia di Monza e Brianza, tra i quali, con partecipazione sociale maggioritaria, il Comune di Seregno.</w:t>
      </w:r>
    </w:p>
    <w:p w14:paraId="428F81B9"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lastRenderedPageBreak/>
        <w:t>L’operazione si è realizzata mediante: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il </w:t>
      </w:r>
      <w:r w:rsidRPr="004B4E20">
        <w:rPr>
          <w:rFonts w:ascii="Garamond" w:eastAsia="Times New Roman" w:hAnsi="Garamond" w:cs="Times New Roman"/>
          <w:i/>
          <w:iCs/>
          <w:color w:val="000000"/>
          <w:sz w:val="30"/>
          <w:szCs w:val="30"/>
          <w:lang w:eastAsia="it-IT"/>
        </w:rPr>
        <w:t>trasferimento</w:t>
      </w:r>
      <w:r w:rsidRPr="004B4E20">
        <w:rPr>
          <w:rFonts w:ascii="Garamond" w:eastAsia="Times New Roman" w:hAnsi="Garamond" w:cs="Times New Roman"/>
          <w:color w:val="000000"/>
          <w:sz w:val="30"/>
          <w:szCs w:val="30"/>
          <w:lang w:eastAsia="it-IT"/>
        </w:rPr>
        <w:t xml:space="preserve"> da parte di A2A S.p.A. dell’intero capitale sociale della controllata A2A Illuminazione pubblica S.r.l. ad altra società controllata </w:t>
      </w:r>
      <w:proofErr w:type="spellStart"/>
      <w:r w:rsidRPr="004B4E20">
        <w:rPr>
          <w:rFonts w:ascii="Garamond" w:eastAsia="Times New Roman" w:hAnsi="Garamond" w:cs="Times New Roman"/>
          <w:color w:val="000000"/>
          <w:sz w:val="30"/>
          <w:szCs w:val="30"/>
          <w:lang w:eastAsia="it-IT"/>
        </w:rPr>
        <w:t>Unareti</w:t>
      </w:r>
      <w:proofErr w:type="spellEnd"/>
      <w:r w:rsidRPr="004B4E20">
        <w:rPr>
          <w:rFonts w:ascii="Garamond" w:eastAsia="Times New Roman" w:hAnsi="Garamond" w:cs="Times New Roman"/>
          <w:color w:val="000000"/>
          <w:sz w:val="30"/>
          <w:szCs w:val="30"/>
          <w:lang w:eastAsia="it-IT"/>
        </w:rPr>
        <w:t xml:space="preserve"> S.p.A.;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la </w:t>
      </w:r>
      <w:r w:rsidRPr="004B4E20">
        <w:rPr>
          <w:rFonts w:ascii="Garamond" w:eastAsia="Times New Roman" w:hAnsi="Garamond" w:cs="Times New Roman"/>
          <w:i/>
          <w:iCs/>
          <w:color w:val="000000"/>
          <w:sz w:val="30"/>
          <w:szCs w:val="30"/>
          <w:lang w:eastAsia="it-IT"/>
        </w:rPr>
        <w:t>scissione</w:t>
      </w:r>
      <w:r w:rsidRPr="004B4E20">
        <w:rPr>
          <w:rFonts w:ascii="Garamond" w:eastAsia="Times New Roman" w:hAnsi="Garamond" w:cs="Times New Roman"/>
          <w:color w:val="000000"/>
          <w:sz w:val="30"/>
          <w:szCs w:val="30"/>
          <w:lang w:eastAsia="it-IT"/>
        </w:rPr>
        <w:t xml:space="preserve"> parziale del ramo di azienda della distribuzione del gas da </w:t>
      </w:r>
      <w:proofErr w:type="spellStart"/>
      <w:r w:rsidRPr="004B4E20">
        <w:rPr>
          <w:rFonts w:ascii="Garamond" w:eastAsia="Times New Roman" w:hAnsi="Garamond" w:cs="Times New Roman"/>
          <w:color w:val="000000"/>
          <w:sz w:val="30"/>
          <w:szCs w:val="30"/>
          <w:lang w:eastAsia="it-IT"/>
        </w:rPr>
        <w:t>Unareti</w:t>
      </w:r>
      <w:proofErr w:type="spellEnd"/>
      <w:r w:rsidRPr="004B4E20">
        <w:rPr>
          <w:rFonts w:ascii="Garamond" w:eastAsia="Times New Roman" w:hAnsi="Garamond" w:cs="Times New Roman"/>
          <w:color w:val="000000"/>
          <w:sz w:val="30"/>
          <w:szCs w:val="30"/>
          <w:lang w:eastAsia="it-IT"/>
        </w:rPr>
        <w:t xml:space="preserve"> S.p.a. e il suo conferimento in A.E.B. S.p.A.;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il </w:t>
      </w:r>
      <w:r w:rsidRPr="004B4E20">
        <w:rPr>
          <w:rFonts w:ascii="Garamond" w:eastAsia="Times New Roman" w:hAnsi="Garamond" w:cs="Times New Roman"/>
          <w:i/>
          <w:iCs/>
          <w:color w:val="000000"/>
          <w:sz w:val="30"/>
          <w:szCs w:val="30"/>
          <w:lang w:eastAsia="it-IT"/>
        </w:rPr>
        <w:t>conferimento</w:t>
      </w:r>
      <w:r w:rsidRPr="004B4E20">
        <w:rPr>
          <w:rFonts w:ascii="Garamond" w:eastAsia="Times New Roman" w:hAnsi="Garamond" w:cs="Times New Roman"/>
          <w:color w:val="000000"/>
          <w:sz w:val="30"/>
          <w:szCs w:val="30"/>
          <w:lang w:eastAsia="it-IT"/>
        </w:rPr>
        <w:t> in natura, da parte della A.E.B. S.p.A., dei punti di riconsegna della distribuzione del gas naturale, acquisiti dalla scissione</w:t>
      </w:r>
    </w:p>
    <w:p w14:paraId="167065DC"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parziale del ramo di azienda della </w:t>
      </w:r>
      <w:proofErr w:type="spellStart"/>
      <w:r w:rsidRPr="004B4E20">
        <w:rPr>
          <w:rFonts w:ascii="Garamond" w:eastAsia="Times New Roman" w:hAnsi="Garamond" w:cs="Times New Roman"/>
          <w:color w:val="000000"/>
          <w:sz w:val="30"/>
          <w:szCs w:val="30"/>
          <w:lang w:eastAsia="it-IT"/>
        </w:rPr>
        <w:t>Unareti</w:t>
      </w:r>
      <w:proofErr w:type="spellEnd"/>
      <w:r w:rsidRPr="004B4E20">
        <w:rPr>
          <w:rFonts w:ascii="Garamond" w:eastAsia="Times New Roman" w:hAnsi="Garamond" w:cs="Times New Roman"/>
          <w:color w:val="000000"/>
          <w:sz w:val="30"/>
          <w:szCs w:val="30"/>
          <w:lang w:eastAsia="it-IT"/>
        </w:rPr>
        <w:t xml:space="preserve"> </w:t>
      </w:r>
      <w:proofErr w:type="spellStart"/>
      <w:r w:rsidRPr="004B4E20">
        <w:rPr>
          <w:rFonts w:ascii="Garamond" w:eastAsia="Times New Roman" w:hAnsi="Garamond" w:cs="Times New Roman"/>
          <w:color w:val="000000"/>
          <w:sz w:val="30"/>
          <w:szCs w:val="30"/>
          <w:lang w:eastAsia="it-IT"/>
        </w:rPr>
        <w:t>s.p.a</w:t>
      </w:r>
      <w:proofErr w:type="spellEnd"/>
      <w:r w:rsidRPr="004B4E20">
        <w:rPr>
          <w:rFonts w:ascii="Garamond" w:eastAsia="Times New Roman" w:hAnsi="Garamond" w:cs="Times New Roman"/>
          <w:color w:val="000000"/>
          <w:sz w:val="30"/>
          <w:szCs w:val="30"/>
          <w:lang w:eastAsia="it-IT"/>
        </w:rPr>
        <w:t>, nella sua controllata Reti Più S.p.a.; </w:t>
      </w:r>
      <w:r w:rsidRPr="004B4E20">
        <w:rPr>
          <w:rFonts w:ascii="Garamond" w:eastAsia="Times New Roman" w:hAnsi="Garamond" w:cs="Times New Roman"/>
          <w:i/>
          <w:iCs/>
          <w:color w:val="000000"/>
          <w:sz w:val="30"/>
          <w:szCs w:val="30"/>
          <w:lang w:eastAsia="it-IT"/>
        </w:rPr>
        <w:t>d</w:t>
      </w:r>
      <w:r w:rsidRPr="004B4E20">
        <w:rPr>
          <w:rFonts w:ascii="Garamond" w:eastAsia="Times New Roman" w:hAnsi="Garamond" w:cs="Times New Roman"/>
          <w:color w:val="000000"/>
          <w:sz w:val="30"/>
          <w:szCs w:val="30"/>
          <w:lang w:eastAsia="it-IT"/>
        </w:rPr>
        <w:t>) la suddivisione, all’esito della riparametrazione del valore unitario delle azioni ordinarie, del capitale sociale di AEB S.p.a. in </w:t>
      </w:r>
      <w:r w:rsidRPr="004B4E20">
        <w:rPr>
          <w:rFonts w:ascii="Garamond" w:eastAsia="Times New Roman" w:hAnsi="Garamond" w:cs="Times New Roman"/>
          <w:i/>
          <w:iCs/>
          <w:color w:val="000000"/>
          <w:sz w:val="30"/>
          <w:szCs w:val="30"/>
          <w:lang w:eastAsia="it-IT"/>
        </w:rPr>
        <w:t>due categorie di azioni</w:t>
      </w:r>
      <w:r w:rsidRPr="004B4E20">
        <w:rPr>
          <w:rFonts w:ascii="Garamond" w:eastAsia="Times New Roman" w:hAnsi="Garamond" w:cs="Times New Roman"/>
          <w:color w:val="000000"/>
          <w:sz w:val="30"/>
          <w:szCs w:val="30"/>
          <w:lang w:eastAsia="it-IT"/>
        </w:rPr>
        <w:t>, di cui quelle di “categoria A” da assegnare ai soci e quelle di “categoria B” da assegnare al nuovo socio A2A S.p.A.; </w:t>
      </w:r>
      <w:r w:rsidRPr="004B4E20">
        <w:rPr>
          <w:rFonts w:ascii="Garamond" w:eastAsia="Times New Roman" w:hAnsi="Garamond" w:cs="Times New Roman"/>
          <w:i/>
          <w:iCs/>
          <w:color w:val="000000"/>
          <w:sz w:val="30"/>
          <w:szCs w:val="30"/>
          <w:lang w:eastAsia="it-IT"/>
        </w:rPr>
        <w:t>e</w:t>
      </w:r>
      <w:r w:rsidRPr="004B4E20">
        <w:rPr>
          <w:rFonts w:ascii="Garamond" w:eastAsia="Times New Roman" w:hAnsi="Garamond" w:cs="Times New Roman"/>
          <w:color w:val="000000"/>
          <w:sz w:val="30"/>
          <w:szCs w:val="30"/>
          <w:lang w:eastAsia="it-IT"/>
        </w:rPr>
        <w:t>) la </w:t>
      </w:r>
      <w:r w:rsidRPr="004B4E20">
        <w:rPr>
          <w:rFonts w:ascii="Garamond" w:eastAsia="Times New Roman" w:hAnsi="Garamond" w:cs="Times New Roman"/>
          <w:i/>
          <w:iCs/>
          <w:color w:val="000000"/>
          <w:sz w:val="30"/>
          <w:szCs w:val="30"/>
          <w:lang w:eastAsia="it-IT"/>
        </w:rPr>
        <w:t>modificazione dell’entità soggettiva delle partecipazioni e dei relativi poteri di controllo</w:t>
      </w:r>
      <w:r w:rsidRPr="004B4E20">
        <w:rPr>
          <w:rFonts w:ascii="Garamond" w:eastAsia="Times New Roman" w:hAnsi="Garamond" w:cs="Times New Roman"/>
          <w:color w:val="000000"/>
          <w:sz w:val="30"/>
          <w:szCs w:val="30"/>
          <w:lang w:eastAsia="it-IT"/>
        </w:rPr>
        <w:t>, pari al 36,472% per il Comune di Seregno e al 33,517% per A2A S.p.A.; </w:t>
      </w:r>
      <w:r w:rsidRPr="004B4E20">
        <w:rPr>
          <w:rFonts w:ascii="Garamond" w:eastAsia="Times New Roman" w:hAnsi="Garamond" w:cs="Times New Roman"/>
          <w:i/>
          <w:iCs/>
          <w:color w:val="000000"/>
          <w:sz w:val="30"/>
          <w:szCs w:val="30"/>
          <w:lang w:eastAsia="it-IT"/>
        </w:rPr>
        <w:t>f</w:t>
      </w:r>
      <w:r w:rsidRPr="004B4E20">
        <w:rPr>
          <w:rFonts w:ascii="Garamond" w:eastAsia="Times New Roman" w:hAnsi="Garamond" w:cs="Times New Roman"/>
          <w:color w:val="000000"/>
          <w:sz w:val="30"/>
          <w:szCs w:val="30"/>
          <w:lang w:eastAsia="it-IT"/>
        </w:rPr>
        <w:t>) la stipula di </w:t>
      </w:r>
      <w:r w:rsidRPr="004B4E20">
        <w:rPr>
          <w:rFonts w:ascii="Garamond" w:eastAsia="Times New Roman" w:hAnsi="Garamond" w:cs="Times New Roman"/>
          <w:i/>
          <w:iCs/>
          <w:color w:val="000000"/>
          <w:sz w:val="30"/>
          <w:szCs w:val="30"/>
          <w:lang w:eastAsia="it-IT"/>
        </w:rPr>
        <w:t>accordi parasociali</w:t>
      </w:r>
      <w:r w:rsidRPr="004B4E20">
        <w:rPr>
          <w:rFonts w:ascii="Garamond" w:eastAsia="Times New Roman" w:hAnsi="Garamond" w:cs="Times New Roman"/>
          <w:color w:val="000000"/>
          <w:sz w:val="30"/>
          <w:szCs w:val="30"/>
          <w:lang w:eastAsia="it-IT"/>
        </w:rPr>
        <w:t xml:space="preserve"> ai fini della nomina dei componenti del consiglio di amministrazione (designati per la metà da A2a S.p.A. e per la metà dal Comune di Seregno), dell’amministratore delegato (designato da A2A </w:t>
      </w:r>
      <w:proofErr w:type="spellStart"/>
      <w:r w:rsidRPr="004B4E20">
        <w:rPr>
          <w:rFonts w:ascii="Garamond" w:eastAsia="Times New Roman" w:hAnsi="Garamond" w:cs="Times New Roman"/>
          <w:color w:val="000000"/>
          <w:sz w:val="30"/>
          <w:szCs w:val="30"/>
          <w:lang w:eastAsia="it-IT"/>
        </w:rPr>
        <w:t>S.p.A</w:t>
      </w:r>
      <w:proofErr w:type="spellEnd"/>
      <w:r w:rsidRPr="004B4E20">
        <w:rPr>
          <w:rFonts w:ascii="Garamond" w:eastAsia="Times New Roman" w:hAnsi="Garamond" w:cs="Times New Roman"/>
          <w:color w:val="000000"/>
          <w:sz w:val="30"/>
          <w:szCs w:val="30"/>
          <w:lang w:eastAsia="it-IT"/>
        </w:rPr>
        <w:t>, previa consultazione con il Comune di Seregno), con sottoposizione di A.E.B. S.p.A. e delle società da questa controllate all’attività di direzione e di coordinamento di A2A S.p.A..</w:t>
      </w:r>
    </w:p>
    <w:p w14:paraId="71005F9E"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Nell’assunto degli originari ricorrenti, valorizzato ed accolto dalla sentenza impugnata, l’intera operazione, nella sua articolata strutturazione, si sarebbe risolta nella “</w:t>
      </w:r>
      <w:r w:rsidRPr="004B4E20">
        <w:rPr>
          <w:rFonts w:ascii="Garamond" w:eastAsia="Times New Roman" w:hAnsi="Garamond" w:cs="Times New Roman"/>
          <w:i/>
          <w:iCs/>
          <w:color w:val="000000"/>
          <w:sz w:val="30"/>
          <w:szCs w:val="30"/>
          <w:lang w:eastAsia="it-IT"/>
        </w:rPr>
        <w:t>sostanziale</w:t>
      </w:r>
      <w:r w:rsidRPr="004B4E20">
        <w:rPr>
          <w:rFonts w:ascii="Garamond" w:eastAsia="Times New Roman" w:hAnsi="Garamond" w:cs="Times New Roman"/>
          <w:color w:val="000000"/>
          <w:sz w:val="30"/>
          <w:szCs w:val="30"/>
          <w:lang w:eastAsia="it-IT"/>
        </w:rPr>
        <w:t>” cessione delle partecipazioni sociali da parte dell’Amministrazione comunale, realizzata </w:t>
      </w:r>
      <w:r w:rsidRPr="004B4E20">
        <w:rPr>
          <w:rFonts w:ascii="Garamond" w:eastAsia="Times New Roman" w:hAnsi="Garamond" w:cs="Times New Roman"/>
          <w:i/>
          <w:iCs/>
          <w:color w:val="000000"/>
          <w:sz w:val="30"/>
          <w:szCs w:val="30"/>
          <w:lang w:eastAsia="it-IT"/>
        </w:rPr>
        <w:t>senza il previo (e necessario) esperimento di una procedura ad evidenza pubblica</w:t>
      </w:r>
      <w:r w:rsidRPr="004B4E20">
        <w:rPr>
          <w:rFonts w:ascii="Garamond" w:eastAsia="Times New Roman" w:hAnsi="Garamond" w:cs="Times New Roman"/>
          <w:color w:val="000000"/>
          <w:sz w:val="30"/>
          <w:szCs w:val="30"/>
          <w:lang w:eastAsia="it-IT"/>
        </w:rPr>
        <w:t>. Per contro, nella critica prospettiva delle parti appellanti, in assenza di </w:t>
      </w:r>
      <w:r w:rsidRPr="004B4E20">
        <w:rPr>
          <w:rFonts w:ascii="Garamond" w:eastAsia="Times New Roman" w:hAnsi="Garamond" w:cs="Times New Roman"/>
          <w:i/>
          <w:iCs/>
          <w:color w:val="000000"/>
          <w:sz w:val="30"/>
          <w:szCs w:val="30"/>
          <w:lang w:eastAsia="it-IT"/>
        </w:rPr>
        <w:t>formale </w:t>
      </w:r>
      <w:r w:rsidRPr="004B4E20">
        <w:rPr>
          <w:rFonts w:ascii="Garamond" w:eastAsia="Times New Roman" w:hAnsi="Garamond" w:cs="Times New Roman"/>
          <w:color w:val="000000"/>
          <w:sz w:val="30"/>
          <w:szCs w:val="30"/>
          <w:lang w:eastAsia="it-IT"/>
        </w:rPr>
        <w:t>cessione di quote sociali e di costituzione di un partenariato sociale con socio privato operatore, l’intera operazione avrebbe rivestito connotazione interamente privatistica, con correlativa ed insindacabile fungibilità negoziale della programmata fusione.</w:t>
      </w:r>
    </w:p>
    <w:p w14:paraId="3661212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lastRenderedPageBreak/>
        <w:t>6.2.- Per dirimere la questione va osservato, in ordine al quadro normativo di riferimento, che il d. lgs. n. 175/2016 (che ha approvato il </w:t>
      </w:r>
      <w:r w:rsidRPr="004B4E20">
        <w:rPr>
          <w:rFonts w:ascii="Garamond" w:eastAsia="Times New Roman" w:hAnsi="Garamond" w:cs="Times New Roman"/>
          <w:i/>
          <w:iCs/>
          <w:color w:val="000000"/>
          <w:sz w:val="30"/>
          <w:szCs w:val="30"/>
          <w:lang w:eastAsia="it-IT"/>
        </w:rPr>
        <w:t>Testo unico in materia di società a partecipazione pubblica</w:t>
      </w:r>
      <w:r w:rsidRPr="004B4E20">
        <w:rPr>
          <w:rFonts w:ascii="Garamond" w:eastAsia="Times New Roman" w:hAnsi="Garamond" w:cs="Times New Roman"/>
          <w:color w:val="000000"/>
          <w:sz w:val="30"/>
          <w:szCs w:val="30"/>
          <w:lang w:eastAsia="it-IT"/>
        </w:rPr>
        <w:t>)</w:t>
      </w:r>
      <w:r w:rsidRPr="004B4E20">
        <w:rPr>
          <w:rFonts w:ascii="Garamond" w:eastAsia="Times New Roman" w:hAnsi="Garamond" w:cs="Times New Roman"/>
          <w:i/>
          <w:iCs/>
          <w:color w:val="000000"/>
          <w:sz w:val="30"/>
          <w:szCs w:val="30"/>
          <w:lang w:eastAsia="it-IT"/>
        </w:rPr>
        <w:t> </w:t>
      </w:r>
      <w:r w:rsidRPr="004B4E20">
        <w:rPr>
          <w:rFonts w:ascii="Garamond" w:eastAsia="Times New Roman" w:hAnsi="Garamond" w:cs="Times New Roman"/>
          <w:color w:val="000000"/>
          <w:sz w:val="30"/>
          <w:szCs w:val="30"/>
          <w:lang w:eastAsia="it-IT"/>
        </w:rPr>
        <w:t>non contiene una disciplina espressamente dedicata alle cc.dd. </w:t>
      </w:r>
      <w:r w:rsidRPr="004B4E20">
        <w:rPr>
          <w:rFonts w:ascii="Garamond" w:eastAsia="Times New Roman" w:hAnsi="Garamond" w:cs="Times New Roman"/>
          <w:i/>
          <w:iCs/>
          <w:color w:val="000000"/>
          <w:sz w:val="30"/>
          <w:szCs w:val="30"/>
          <w:lang w:eastAsia="it-IT"/>
        </w:rPr>
        <w:t>operazioni straordinarie</w:t>
      </w:r>
      <w:r w:rsidRPr="004B4E20">
        <w:rPr>
          <w:rFonts w:ascii="Garamond" w:eastAsia="Times New Roman" w:hAnsi="Garamond" w:cs="Times New Roman"/>
          <w:color w:val="000000"/>
          <w:sz w:val="30"/>
          <w:szCs w:val="30"/>
          <w:lang w:eastAsia="it-IT"/>
        </w:rPr>
        <w:t>.</w:t>
      </w:r>
    </w:p>
    <w:p w14:paraId="47423055"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Ciò si giustifica alla luce della previsione di cui all’art. 1, commi 1 e 3 del T.U., la quale chiarisce che la normativa introduce una regolamentazione di singole vicende organizzative delle società a partecipazione pubblica (es: la costituzione, l’acquisto di partecipazioni pubbliche), mentre per tutto quanto non espressamente convenuto deve farsi riferimento alla normativa societaria </w:t>
      </w:r>
      <w:r w:rsidRPr="004B4E20">
        <w:rPr>
          <w:rFonts w:ascii="Garamond" w:eastAsia="Times New Roman" w:hAnsi="Garamond" w:cs="Times New Roman"/>
          <w:i/>
          <w:iCs/>
          <w:color w:val="000000"/>
          <w:sz w:val="30"/>
          <w:szCs w:val="30"/>
          <w:lang w:eastAsia="it-IT"/>
        </w:rPr>
        <w:t>di diritto comune</w:t>
      </w:r>
      <w:r w:rsidRPr="004B4E20">
        <w:rPr>
          <w:rFonts w:ascii="Garamond" w:eastAsia="Times New Roman" w:hAnsi="Garamond" w:cs="Times New Roman"/>
          <w:color w:val="000000"/>
          <w:sz w:val="30"/>
          <w:szCs w:val="30"/>
          <w:lang w:eastAsia="it-IT"/>
        </w:rPr>
        <w:t>.</w:t>
      </w:r>
    </w:p>
    <w:p w14:paraId="5145122E"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Il richiamo, quale regola residuale, alle fonti generali del diritto societario sintetizza, come è noto, un’opzione di politica legislativa confermativa della </w:t>
      </w:r>
      <w:r w:rsidRPr="004B4E20">
        <w:rPr>
          <w:rFonts w:ascii="Garamond" w:eastAsia="Times New Roman" w:hAnsi="Garamond" w:cs="Times New Roman"/>
          <w:i/>
          <w:iCs/>
          <w:color w:val="000000"/>
          <w:sz w:val="30"/>
          <w:szCs w:val="30"/>
          <w:lang w:eastAsia="it-IT"/>
        </w:rPr>
        <w:t>natura essenzialmente privatistica</w:t>
      </w:r>
      <w:r w:rsidRPr="004B4E20">
        <w:rPr>
          <w:rFonts w:ascii="Garamond" w:eastAsia="Times New Roman" w:hAnsi="Garamond" w:cs="Times New Roman"/>
          <w:color w:val="000000"/>
          <w:sz w:val="30"/>
          <w:szCs w:val="30"/>
          <w:lang w:eastAsia="it-IT"/>
        </w:rPr>
        <w:t> delle società a partecipazione pubblica e si pone quale architrave della regolamentazione di settore, nel senso che – alla luce di un fondamentale canone di </w:t>
      </w:r>
      <w:r w:rsidRPr="004B4E20">
        <w:rPr>
          <w:rFonts w:ascii="Garamond" w:eastAsia="Times New Roman" w:hAnsi="Garamond" w:cs="Times New Roman"/>
          <w:i/>
          <w:iCs/>
          <w:color w:val="000000"/>
          <w:sz w:val="30"/>
          <w:szCs w:val="30"/>
          <w:lang w:eastAsia="it-IT"/>
        </w:rPr>
        <w:t>proporzionalità</w:t>
      </w:r>
      <w:r w:rsidRPr="004B4E20">
        <w:rPr>
          <w:rFonts w:ascii="Garamond" w:eastAsia="Times New Roman" w:hAnsi="Garamond" w:cs="Times New Roman"/>
          <w:color w:val="000000"/>
          <w:sz w:val="30"/>
          <w:szCs w:val="30"/>
          <w:lang w:eastAsia="it-IT"/>
        </w:rPr>
        <w:t> (cfr. art. 18, comma 1 lett.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l. 7 agosto 2015, n. 124) e di </w:t>
      </w:r>
      <w:r w:rsidRPr="004B4E20">
        <w:rPr>
          <w:rFonts w:ascii="Garamond" w:eastAsia="Times New Roman" w:hAnsi="Garamond" w:cs="Times New Roman"/>
          <w:i/>
          <w:iCs/>
          <w:color w:val="000000"/>
          <w:sz w:val="30"/>
          <w:szCs w:val="30"/>
          <w:lang w:eastAsia="it-IT"/>
        </w:rPr>
        <w:t>sussidiarietà </w:t>
      </w:r>
      <w:r w:rsidRPr="004B4E20">
        <w:rPr>
          <w:rFonts w:ascii="Garamond" w:eastAsia="Times New Roman" w:hAnsi="Garamond" w:cs="Times New Roman"/>
          <w:color w:val="000000"/>
          <w:sz w:val="30"/>
          <w:szCs w:val="30"/>
          <w:lang w:eastAsia="it-IT"/>
        </w:rPr>
        <w:t>(cfr. art. 1, comma 1 </w:t>
      </w:r>
      <w:r w:rsidRPr="004B4E20">
        <w:rPr>
          <w:rFonts w:ascii="Garamond" w:eastAsia="Times New Roman" w:hAnsi="Garamond" w:cs="Times New Roman"/>
          <w:i/>
          <w:iCs/>
          <w:color w:val="000000"/>
          <w:sz w:val="30"/>
          <w:szCs w:val="30"/>
          <w:lang w:eastAsia="it-IT"/>
        </w:rPr>
        <w:t>bis</w:t>
      </w:r>
      <w:r w:rsidRPr="004B4E20">
        <w:rPr>
          <w:rFonts w:ascii="Garamond" w:eastAsia="Times New Roman" w:hAnsi="Garamond" w:cs="Times New Roman"/>
          <w:color w:val="000000"/>
          <w:sz w:val="30"/>
          <w:szCs w:val="30"/>
          <w:lang w:eastAsia="it-IT"/>
        </w:rPr>
        <w:t> l. n. 241/1990) – l’applicazione della disciplina pubblicistica debba trovare volta a volta fondamento, a geometria variabile, in presenza di cogenti ragioni giustificative, normativamente codificate.</w:t>
      </w:r>
    </w:p>
    <w:p w14:paraId="61D75EBA"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Si tratta, del resto, di principio ricognitivo di una concezione ampiamente radicata già nell’impianto del </w:t>
      </w:r>
      <w:proofErr w:type="gramStart"/>
      <w:r w:rsidRPr="004B4E20">
        <w:rPr>
          <w:rFonts w:ascii="Garamond" w:eastAsia="Times New Roman" w:hAnsi="Garamond" w:cs="Times New Roman"/>
          <w:color w:val="000000"/>
          <w:sz w:val="30"/>
          <w:szCs w:val="30"/>
          <w:lang w:eastAsia="it-IT"/>
        </w:rPr>
        <w:t>codice civile</w:t>
      </w:r>
      <w:proofErr w:type="gramEnd"/>
      <w:r w:rsidRPr="004B4E20">
        <w:rPr>
          <w:rFonts w:ascii="Garamond" w:eastAsia="Times New Roman" w:hAnsi="Garamond" w:cs="Times New Roman"/>
          <w:color w:val="000000"/>
          <w:sz w:val="30"/>
          <w:szCs w:val="30"/>
          <w:lang w:eastAsia="it-IT"/>
        </w:rPr>
        <w:t>, in cui le società pubbliche sono sottoposte in tutto e per tutto alla normativa generale, con la sola eccezione della previsione dei diritti amministrativi speciali di cui all’art. 2449 c.c., norma considerata comunque incapace di interferire con la causa della società e ritenuta convincentemente neutra sotto il profilo della natura dell’ente.</w:t>
      </w:r>
    </w:p>
    <w:p w14:paraId="1E59F49E"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6.2.1.- Ciononostante, l’assenza di una </w:t>
      </w:r>
      <w:r w:rsidRPr="004B4E20">
        <w:rPr>
          <w:rFonts w:ascii="Garamond" w:eastAsia="Times New Roman" w:hAnsi="Garamond" w:cs="Times New Roman"/>
          <w:i/>
          <w:iCs/>
          <w:color w:val="000000"/>
          <w:sz w:val="30"/>
          <w:szCs w:val="30"/>
          <w:lang w:eastAsia="it-IT"/>
        </w:rPr>
        <w:t>specifica </w:t>
      </w:r>
      <w:r w:rsidRPr="004B4E20">
        <w:rPr>
          <w:rFonts w:ascii="Garamond" w:eastAsia="Times New Roman" w:hAnsi="Garamond" w:cs="Times New Roman"/>
          <w:color w:val="000000"/>
          <w:sz w:val="30"/>
          <w:szCs w:val="30"/>
          <w:lang w:eastAsia="it-IT"/>
        </w:rPr>
        <w:t>e </w:t>
      </w:r>
      <w:r w:rsidRPr="004B4E20">
        <w:rPr>
          <w:rFonts w:ascii="Garamond" w:eastAsia="Times New Roman" w:hAnsi="Garamond" w:cs="Times New Roman"/>
          <w:i/>
          <w:iCs/>
          <w:color w:val="000000"/>
          <w:sz w:val="30"/>
          <w:szCs w:val="30"/>
          <w:lang w:eastAsia="it-IT"/>
        </w:rPr>
        <w:t>puntuale </w:t>
      </w:r>
      <w:r w:rsidRPr="004B4E20">
        <w:rPr>
          <w:rFonts w:ascii="Garamond" w:eastAsia="Times New Roman" w:hAnsi="Garamond" w:cs="Times New Roman"/>
          <w:color w:val="000000"/>
          <w:sz w:val="30"/>
          <w:szCs w:val="30"/>
          <w:lang w:eastAsia="it-IT"/>
        </w:rPr>
        <w:t xml:space="preserve">disciplina delle operazioni straordinarie concluse da società a partecipazione pubblica non legittima, tuttavia, l’inferenza che esse non presentino – o, meglio, non possano in concreto presentare, in relazione alle relative modalità programmatiche ed operative – caratteri peculiari </w:t>
      </w:r>
      <w:r w:rsidRPr="004B4E20">
        <w:rPr>
          <w:rFonts w:ascii="Garamond" w:eastAsia="Times New Roman" w:hAnsi="Garamond" w:cs="Times New Roman"/>
          <w:color w:val="000000"/>
          <w:sz w:val="30"/>
          <w:szCs w:val="30"/>
          <w:lang w:eastAsia="it-IT"/>
        </w:rPr>
        <w:lastRenderedPageBreak/>
        <w:t>che valgano a giustificarne la sottoposizione ad un regime normativo in parte differenziato.</w:t>
      </w:r>
    </w:p>
    <w:p w14:paraId="7C0A0C3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In proposito, va anzitutto precisato che il d. lgs. n. 175 cit. contiene alcuni riferimenti espliciti alle operazioni concernenti rispettivamente la </w:t>
      </w:r>
      <w:r w:rsidRPr="004B4E20">
        <w:rPr>
          <w:rFonts w:ascii="Garamond" w:eastAsia="Times New Roman" w:hAnsi="Garamond" w:cs="Times New Roman"/>
          <w:i/>
          <w:iCs/>
          <w:color w:val="000000"/>
          <w:sz w:val="30"/>
          <w:szCs w:val="30"/>
          <w:lang w:eastAsia="it-IT"/>
        </w:rPr>
        <w:t>variazione del capitale sociale</w:t>
      </w:r>
      <w:r w:rsidRPr="004B4E20">
        <w:rPr>
          <w:rFonts w:ascii="Garamond" w:eastAsia="Times New Roman" w:hAnsi="Garamond" w:cs="Times New Roman"/>
          <w:color w:val="000000"/>
          <w:sz w:val="30"/>
          <w:szCs w:val="30"/>
          <w:lang w:eastAsia="it-IT"/>
        </w:rPr>
        <w:t>, la </w:t>
      </w:r>
      <w:r w:rsidRPr="004B4E20">
        <w:rPr>
          <w:rFonts w:ascii="Garamond" w:eastAsia="Times New Roman" w:hAnsi="Garamond" w:cs="Times New Roman"/>
          <w:i/>
          <w:iCs/>
          <w:color w:val="000000"/>
          <w:sz w:val="30"/>
          <w:szCs w:val="30"/>
          <w:lang w:eastAsia="it-IT"/>
        </w:rPr>
        <w:t>trasformazione</w:t>
      </w:r>
      <w:r w:rsidRPr="004B4E20">
        <w:rPr>
          <w:rFonts w:ascii="Garamond" w:eastAsia="Times New Roman" w:hAnsi="Garamond" w:cs="Times New Roman"/>
          <w:color w:val="000000"/>
          <w:sz w:val="30"/>
          <w:szCs w:val="30"/>
          <w:lang w:eastAsia="it-IT"/>
        </w:rPr>
        <w:t>, la </w:t>
      </w:r>
      <w:r w:rsidRPr="004B4E20">
        <w:rPr>
          <w:rFonts w:ascii="Garamond" w:eastAsia="Times New Roman" w:hAnsi="Garamond" w:cs="Times New Roman"/>
          <w:i/>
          <w:iCs/>
          <w:color w:val="000000"/>
          <w:sz w:val="30"/>
          <w:szCs w:val="30"/>
          <w:lang w:eastAsia="it-IT"/>
        </w:rPr>
        <w:t>fusione</w:t>
      </w:r>
      <w:r w:rsidRPr="004B4E20">
        <w:rPr>
          <w:rFonts w:ascii="Garamond" w:eastAsia="Times New Roman" w:hAnsi="Garamond" w:cs="Times New Roman"/>
          <w:color w:val="000000"/>
          <w:sz w:val="30"/>
          <w:szCs w:val="30"/>
          <w:lang w:eastAsia="it-IT"/>
        </w:rPr>
        <w:t> e la </w:t>
      </w:r>
      <w:r w:rsidRPr="004B4E20">
        <w:rPr>
          <w:rFonts w:ascii="Garamond" w:eastAsia="Times New Roman" w:hAnsi="Garamond" w:cs="Times New Roman"/>
          <w:i/>
          <w:iCs/>
          <w:color w:val="000000"/>
          <w:sz w:val="30"/>
          <w:szCs w:val="30"/>
          <w:lang w:eastAsia="it-IT"/>
        </w:rPr>
        <w:t>scissione</w:t>
      </w:r>
      <w:r w:rsidRPr="004B4E20">
        <w:rPr>
          <w:rFonts w:ascii="Garamond" w:eastAsia="Times New Roman" w:hAnsi="Garamond" w:cs="Times New Roman"/>
          <w:color w:val="000000"/>
          <w:sz w:val="30"/>
          <w:szCs w:val="30"/>
          <w:lang w:eastAsia="it-IT"/>
        </w:rPr>
        <w:t>.</w:t>
      </w:r>
    </w:p>
    <w:p w14:paraId="28838A60"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Vale, in particolare, richiamare quanto stabilito: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dall’art. 7, comma 7, lett.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con riguardo all’atto deliberativo dell’amministrazione pubblica di procedere alla </w:t>
      </w:r>
      <w:r w:rsidRPr="004B4E20">
        <w:rPr>
          <w:rFonts w:ascii="Garamond" w:eastAsia="Times New Roman" w:hAnsi="Garamond" w:cs="Times New Roman"/>
          <w:i/>
          <w:iCs/>
          <w:color w:val="000000"/>
          <w:sz w:val="30"/>
          <w:szCs w:val="30"/>
          <w:lang w:eastAsia="it-IT"/>
        </w:rPr>
        <w:t>trasformazione della società partecipata</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dall’art. 8, comma 1, con riguardo all’atto deliberativo che programmi l’</w:t>
      </w:r>
      <w:r w:rsidRPr="004B4E20">
        <w:rPr>
          <w:rFonts w:ascii="Garamond" w:eastAsia="Times New Roman" w:hAnsi="Garamond" w:cs="Times New Roman"/>
          <w:i/>
          <w:iCs/>
          <w:color w:val="000000"/>
          <w:sz w:val="30"/>
          <w:szCs w:val="30"/>
          <w:lang w:eastAsia="it-IT"/>
        </w:rPr>
        <w:t>acquisto, tramite aumento di capitale sociale o altre operazioni straordinarie, di partecipazioni</w:t>
      </w:r>
      <w:r w:rsidRPr="004B4E20">
        <w:rPr>
          <w:rFonts w:ascii="Garamond" w:eastAsia="Times New Roman" w:hAnsi="Garamond" w:cs="Times New Roman"/>
          <w:color w:val="000000"/>
          <w:sz w:val="30"/>
          <w:szCs w:val="30"/>
          <w:lang w:eastAsia="it-IT"/>
        </w:rPr>
        <w:t> in società già costituite;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dall’art. 14, comma 5, con riguardo alle (limitate) possibilità di ricorrere ad operazioni straordinarie ai fini del </w:t>
      </w:r>
      <w:r w:rsidRPr="004B4E20">
        <w:rPr>
          <w:rFonts w:ascii="Garamond" w:eastAsia="Times New Roman" w:hAnsi="Garamond" w:cs="Times New Roman"/>
          <w:i/>
          <w:iCs/>
          <w:color w:val="000000"/>
          <w:sz w:val="30"/>
          <w:szCs w:val="30"/>
          <w:lang w:eastAsia="it-IT"/>
        </w:rPr>
        <w:t>ripianamento delle perdite</w:t>
      </w:r>
      <w:r w:rsidRPr="004B4E20">
        <w:rPr>
          <w:rFonts w:ascii="Garamond" w:eastAsia="Times New Roman" w:hAnsi="Garamond" w:cs="Times New Roman"/>
          <w:color w:val="000000"/>
          <w:sz w:val="30"/>
          <w:szCs w:val="30"/>
          <w:lang w:eastAsia="it-IT"/>
        </w:rPr>
        <w:t> del capitale sociale; </w:t>
      </w:r>
      <w:r w:rsidRPr="004B4E20">
        <w:rPr>
          <w:rFonts w:ascii="Garamond" w:eastAsia="Times New Roman" w:hAnsi="Garamond" w:cs="Times New Roman"/>
          <w:i/>
          <w:iCs/>
          <w:color w:val="000000"/>
          <w:sz w:val="30"/>
          <w:szCs w:val="30"/>
          <w:lang w:eastAsia="it-IT"/>
        </w:rPr>
        <w:t>d</w:t>
      </w:r>
      <w:r w:rsidRPr="004B4E20">
        <w:rPr>
          <w:rFonts w:ascii="Garamond" w:eastAsia="Times New Roman" w:hAnsi="Garamond" w:cs="Times New Roman"/>
          <w:color w:val="000000"/>
          <w:sz w:val="30"/>
          <w:szCs w:val="30"/>
          <w:lang w:eastAsia="it-IT"/>
        </w:rPr>
        <w:t>) dall’art. 20, commi 1, 2 e 5, con riguardo all’obbligo per le amministrazioni pubbliche di predisporre periodicamente un </w:t>
      </w:r>
      <w:r w:rsidRPr="004B4E20">
        <w:rPr>
          <w:rFonts w:ascii="Garamond" w:eastAsia="Times New Roman" w:hAnsi="Garamond" w:cs="Times New Roman"/>
          <w:i/>
          <w:iCs/>
          <w:color w:val="000000"/>
          <w:sz w:val="30"/>
          <w:szCs w:val="30"/>
          <w:lang w:eastAsia="it-IT"/>
        </w:rPr>
        <w:t>piano di razionalizzazione</w:t>
      </w:r>
      <w:r w:rsidRPr="004B4E20">
        <w:rPr>
          <w:rFonts w:ascii="Garamond" w:eastAsia="Times New Roman" w:hAnsi="Garamond" w:cs="Times New Roman"/>
          <w:color w:val="000000"/>
          <w:sz w:val="30"/>
          <w:szCs w:val="30"/>
          <w:lang w:eastAsia="it-IT"/>
        </w:rPr>
        <w:t> delle partecipazioni, da attuarsi anche tramite operazioni straordinarie, compresa la </w:t>
      </w:r>
      <w:r w:rsidRPr="004B4E20">
        <w:rPr>
          <w:rFonts w:ascii="Garamond" w:eastAsia="Times New Roman" w:hAnsi="Garamond" w:cs="Times New Roman"/>
          <w:i/>
          <w:iCs/>
          <w:color w:val="000000"/>
          <w:sz w:val="30"/>
          <w:szCs w:val="30"/>
          <w:lang w:eastAsia="it-IT"/>
        </w:rPr>
        <w:t>fusione</w:t>
      </w:r>
      <w:r w:rsidRPr="004B4E20">
        <w:rPr>
          <w:rFonts w:ascii="Garamond" w:eastAsia="Times New Roman" w:hAnsi="Garamond" w:cs="Times New Roman"/>
          <w:color w:val="000000"/>
          <w:sz w:val="30"/>
          <w:szCs w:val="30"/>
          <w:lang w:eastAsia="it-IT"/>
        </w:rPr>
        <w:t> (o la </w:t>
      </w:r>
      <w:r w:rsidRPr="004B4E20">
        <w:rPr>
          <w:rFonts w:ascii="Garamond" w:eastAsia="Times New Roman" w:hAnsi="Garamond" w:cs="Times New Roman"/>
          <w:i/>
          <w:iCs/>
          <w:color w:val="000000"/>
          <w:sz w:val="30"/>
          <w:szCs w:val="30"/>
          <w:lang w:eastAsia="it-IT"/>
        </w:rPr>
        <w:t>messa in liquidazione</w:t>
      </w:r>
      <w:r w:rsidRPr="004B4E20">
        <w:rPr>
          <w:rFonts w:ascii="Garamond" w:eastAsia="Times New Roman" w:hAnsi="Garamond" w:cs="Times New Roman"/>
          <w:color w:val="000000"/>
          <w:sz w:val="30"/>
          <w:szCs w:val="30"/>
          <w:lang w:eastAsia="it-IT"/>
        </w:rPr>
        <w:t> o la </w:t>
      </w:r>
      <w:r w:rsidRPr="004B4E20">
        <w:rPr>
          <w:rFonts w:ascii="Garamond" w:eastAsia="Times New Roman" w:hAnsi="Garamond" w:cs="Times New Roman"/>
          <w:i/>
          <w:iCs/>
          <w:color w:val="000000"/>
          <w:sz w:val="30"/>
          <w:szCs w:val="30"/>
          <w:lang w:eastAsia="it-IT"/>
        </w:rPr>
        <w:t>cessione</w:t>
      </w:r>
      <w:r w:rsidRPr="004B4E20">
        <w:rPr>
          <w:rFonts w:ascii="Garamond" w:eastAsia="Times New Roman" w:hAnsi="Garamond" w:cs="Times New Roman"/>
          <w:color w:val="000000"/>
          <w:sz w:val="30"/>
          <w:szCs w:val="30"/>
          <w:lang w:eastAsia="it-IT"/>
        </w:rPr>
        <w:t>).</w:t>
      </w:r>
    </w:p>
    <w:p w14:paraId="59604A08"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Si pone, pertanto, la necessità di coordinare la </w:t>
      </w:r>
      <w:r w:rsidRPr="004B4E20">
        <w:rPr>
          <w:rFonts w:ascii="Garamond" w:eastAsia="Times New Roman" w:hAnsi="Garamond" w:cs="Times New Roman"/>
          <w:i/>
          <w:iCs/>
          <w:color w:val="000000"/>
          <w:sz w:val="30"/>
          <w:szCs w:val="30"/>
          <w:lang w:eastAsia="it-IT"/>
        </w:rPr>
        <w:t>disciplina generale</w:t>
      </w:r>
      <w:r w:rsidRPr="004B4E20">
        <w:rPr>
          <w:rFonts w:ascii="Garamond" w:eastAsia="Times New Roman" w:hAnsi="Garamond" w:cs="Times New Roman"/>
          <w:color w:val="000000"/>
          <w:sz w:val="30"/>
          <w:szCs w:val="30"/>
          <w:lang w:eastAsia="it-IT"/>
        </w:rPr>
        <w:t xml:space="preserve"> contenuta nel capo X, sezioni I, II e III, del </w:t>
      </w:r>
      <w:proofErr w:type="gramStart"/>
      <w:r w:rsidRPr="004B4E20">
        <w:rPr>
          <w:rFonts w:ascii="Garamond" w:eastAsia="Times New Roman" w:hAnsi="Garamond" w:cs="Times New Roman"/>
          <w:color w:val="000000"/>
          <w:sz w:val="30"/>
          <w:szCs w:val="30"/>
          <w:lang w:eastAsia="it-IT"/>
        </w:rPr>
        <w:t>codice civile</w:t>
      </w:r>
      <w:proofErr w:type="gramEnd"/>
      <w:r w:rsidRPr="004B4E20">
        <w:rPr>
          <w:rFonts w:ascii="Garamond" w:eastAsia="Times New Roman" w:hAnsi="Garamond" w:cs="Times New Roman"/>
          <w:color w:val="000000"/>
          <w:sz w:val="30"/>
          <w:szCs w:val="30"/>
          <w:lang w:eastAsia="it-IT"/>
        </w:rPr>
        <w:t xml:space="preserve"> con le disposizioni introdotte dal T.U. per le società pubbliche: ciò perché, per l’appunto, le norme dettate per regolamentare singoli aspetti delle società partecipate possono </w:t>
      </w:r>
      <w:r w:rsidRPr="004B4E20">
        <w:rPr>
          <w:rFonts w:ascii="Garamond" w:eastAsia="Times New Roman" w:hAnsi="Garamond" w:cs="Times New Roman"/>
          <w:i/>
          <w:iCs/>
          <w:color w:val="000000"/>
          <w:sz w:val="30"/>
          <w:szCs w:val="30"/>
          <w:lang w:eastAsia="it-IT"/>
        </w:rPr>
        <w:t>interferire con la disciplina generale del tipo sociale</w:t>
      </w:r>
      <w:r w:rsidRPr="004B4E20">
        <w:rPr>
          <w:rFonts w:ascii="Garamond" w:eastAsia="Times New Roman" w:hAnsi="Garamond" w:cs="Times New Roman"/>
          <w:color w:val="000000"/>
          <w:sz w:val="30"/>
          <w:szCs w:val="30"/>
          <w:lang w:eastAsia="it-IT"/>
        </w:rPr>
        <w:t> ed esprimere una specifica caratterizzazione del modello organizzativo.</w:t>
      </w:r>
    </w:p>
    <w:p w14:paraId="5E0507D8"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6.2.2.- In tale prospettiva il carattere “singolare”, nel senso chiarito, dei processi di ristrutturazione e riorganizzazione deliberati da società a partecipazione pubblica ed affidati alle multiformi tecnicalità delle operazioni societarie straordinarie può dipendere: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dalla presenza di aspetti peculiari impressi al modello organizzativo dalla regolamentazione di settore;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xml:space="preserve">) dal rilievo che assumono i principi </w:t>
      </w:r>
      <w:proofErr w:type="spellStart"/>
      <w:r w:rsidRPr="004B4E20">
        <w:rPr>
          <w:rFonts w:ascii="Garamond" w:eastAsia="Times New Roman" w:hAnsi="Garamond" w:cs="Times New Roman"/>
          <w:color w:val="000000"/>
          <w:sz w:val="30"/>
          <w:szCs w:val="30"/>
          <w:lang w:eastAsia="it-IT"/>
        </w:rPr>
        <w:t>eurocomuni</w:t>
      </w:r>
      <w:proofErr w:type="spellEnd"/>
      <w:r w:rsidRPr="004B4E20">
        <w:rPr>
          <w:rFonts w:ascii="Garamond" w:eastAsia="Times New Roman" w:hAnsi="Garamond" w:cs="Times New Roman"/>
          <w:color w:val="000000"/>
          <w:sz w:val="30"/>
          <w:szCs w:val="30"/>
          <w:lang w:eastAsia="it-IT"/>
        </w:rPr>
        <w:t xml:space="preserve"> in tema di intervento pubblico nell’economia o da contingenti esigenze di contrazione della spesa pubblica nazionale;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xml:space="preserve">) dalla necessità di salvaguardare il </w:t>
      </w:r>
      <w:r w:rsidRPr="004B4E20">
        <w:rPr>
          <w:rFonts w:ascii="Garamond" w:eastAsia="Times New Roman" w:hAnsi="Garamond" w:cs="Times New Roman"/>
          <w:color w:val="000000"/>
          <w:sz w:val="30"/>
          <w:szCs w:val="30"/>
          <w:lang w:eastAsia="it-IT"/>
        </w:rPr>
        <w:lastRenderedPageBreak/>
        <w:t>principio di apertura concorrenziale del mercato; </w:t>
      </w:r>
      <w:r w:rsidRPr="004B4E20">
        <w:rPr>
          <w:rFonts w:ascii="Garamond" w:eastAsia="Times New Roman" w:hAnsi="Garamond" w:cs="Times New Roman"/>
          <w:i/>
          <w:iCs/>
          <w:color w:val="000000"/>
          <w:sz w:val="30"/>
          <w:szCs w:val="30"/>
          <w:lang w:eastAsia="it-IT"/>
        </w:rPr>
        <w:t>d</w:t>
      </w:r>
      <w:r w:rsidRPr="004B4E20">
        <w:rPr>
          <w:rFonts w:ascii="Garamond" w:eastAsia="Times New Roman" w:hAnsi="Garamond" w:cs="Times New Roman"/>
          <w:color w:val="000000"/>
          <w:sz w:val="30"/>
          <w:szCs w:val="30"/>
          <w:lang w:eastAsia="it-IT"/>
        </w:rPr>
        <w:t>) dal radicamento di un orientamento incline a preservare il controllo dell’amministrazione sulla gestione dei servizi pubblici sul presupposto della natura “comune” di taluni beni assoggettati ad un regime di accesso universale.</w:t>
      </w:r>
    </w:p>
    <w:p w14:paraId="020ADBBD"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Le società partecipate possono essere, in particolare, interessate da operazioni straordinarie di ristrutturazione nelle forme della </w:t>
      </w:r>
      <w:r w:rsidRPr="004B4E20">
        <w:rPr>
          <w:rFonts w:ascii="Garamond" w:eastAsia="Times New Roman" w:hAnsi="Garamond" w:cs="Times New Roman"/>
          <w:i/>
          <w:iCs/>
          <w:color w:val="000000"/>
          <w:sz w:val="30"/>
          <w:szCs w:val="30"/>
          <w:lang w:eastAsia="it-IT"/>
        </w:rPr>
        <w:t>fusione</w:t>
      </w:r>
      <w:r w:rsidRPr="004B4E20">
        <w:rPr>
          <w:rFonts w:ascii="Garamond" w:eastAsia="Times New Roman" w:hAnsi="Garamond" w:cs="Times New Roman"/>
          <w:color w:val="000000"/>
          <w:sz w:val="30"/>
          <w:szCs w:val="30"/>
          <w:lang w:eastAsia="it-IT"/>
        </w:rPr>
        <w:t> e della </w:t>
      </w:r>
      <w:r w:rsidRPr="004B4E20">
        <w:rPr>
          <w:rFonts w:ascii="Garamond" w:eastAsia="Times New Roman" w:hAnsi="Garamond" w:cs="Times New Roman"/>
          <w:i/>
          <w:iCs/>
          <w:color w:val="000000"/>
          <w:sz w:val="30"/>
          <w:szCs w:val="30"/>
          <w:lang w:eastAsia="it-IT"/>
        </w:rPr>
        <w:t>scissione</w:t>
      </w:r>
      <w:r w:rsidRPr="004B4E20">
        <w:rPr>
          <w:rFonts w:ascii="Garamond" w:eastAsia="Times New Roman" w:hAnsi="Garamond" w:cs="Times New Roman"/>
          <w:color w:val="000000"/>
          <w:sz w:val="30"/>
          <w:szCs w:val="30"/>
          <w:lang w:eastAsia="it-IT"/>
        </w:rPr>
        <w:t> (eventualmente e tipicamente accompagnate da </w:t>
      </w:r>
      <w:r w:rsidRPr="004B4E20">
        <w:rPr>
          <w:rFonts w:ascii="Garamond" w:eastAsia="Times New Roman" w:hAnsi="Garamond" w:cs="Times New Roman"/>
          <w:i/>
          <w:iCs/>
          <w:color w:val="000000"/>
          <w:sz w:val="30"/>
          <w:szCs w:val="30"/>
          <w:lang w:eastAsia="it-IT"/>
        </w:rPr>
        <w:t>aumento del capitale sociale</w:t>
      </w:r>
      <w:r w:rsidRPr="004B4E20">
        <w:rPr>
          <w:rFonts w:ascii="Garamond" w:eastAsia="Times New Roman" w:hAnsi="Garamond" w:cs="Times New Roman"/>
          <w:color w:val="000000"/>
          <w:sz w:val="30"/>
          <w:szCs w:val="30"/>
          <w:lang w:eastAsia="it-IT"/>
        </w:rPr>
        <w:t>): ciò per ragioni volta a volta: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produttive</w:t>
      </w:r>
      <w:r w:rsidRPr="004B4E20">
        <w:rPr>
          <w:rFonts w:ascii="Garamond" w:eastAsia="Times New Roman" w:hAnsi="Garamond" w:cs="Times New Roman"/>
          <w:color w:val="000000"/>
          <w:sz w:val="30"/>
          <w:szCs w:val="30"/>
          <w:lang w:eastAsia="it-IT"/>
        </w:rPr>
        <w:t> (soprattutto quando si persegue l’obiettivo di associare complessi produttivi per massimizzare le efficienze nel godimento dei fattori della produzione);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tecnologiche</w:t>
      </w:r>
      <w:r w:rsidRPr="004B4E20">
        <w:rPr>
          <w:rFonts w:ascii="Garamond" w:eastAsia="Times New Roman" w:hAnsi="Garamond" w:cs="Times New Roman"/>
          <w:color w:val="000000"/>
          <w:sz w:val="30"/>
          <w:szCs w:val="30"/>
          <w:lang w:eastAsia="it-IT"/>
        </w:rPr>
        <w:t> (quando l’operazione consenta – ad esempio – l’acquisizione di uno specifico bene immateriale o </w:t>
      </w:r>
      <w:r w:rsidRPr="004B4E20">
        <w:rPr>
          <w:rFonts w:ascii="Garamond" w:eastAsia="Times New Roman" w:hAnsi="Garamond" w:cs="Times New Roman"/>
          <w:i/>
          <w:iCs/>
          <w:color w:val="000000"/>
          <w:sz w:val="30"/>
          <w:szCs w:val="30"/>
          <w:lang w:eastAsia="it-IT"/>
        </w:rPr>
        <w:t xml:space="preserve">know </w:t>
      </w:r>
      <w:proofErr w:type="spellStart"/>
      <w:r w:rsidRPr="004B4E20">
        <w:rPr>
          <w:rFonts w:ascii="Garamond" w:eastAsia="Times New Roman" w:hAnsi="Garamond" w:cs="Times New Roman"/>
          <w:i/>
          <w:iCs/>
          <w:color w:val="000000"/>
          <w:sz w:val="30"/>
          <w:szCs w:val="30"/>
          <w:lang w:eastAsia="it-IT"/>
        </w:rPr>
        <w:t>how</w:t>
      </w:r>
      <w:proofErr w:type="spellEnd"/>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commerciali </w:t>
      </w:r>
      <w:r w:rsidRPr="004B4E20">
        <w:rPr>
          <w:rFonts w:ascii="Garamond" w:eastAsia="Times New Roman" w:hAnsi="Garamond" w:cs="Times New Roman"/>
          <w:color w:val="000000"/>
          <w:sz w:val="30"/>
          <w:szCs w:val="30"/>
          <w:lang w:eastAsia="it-IT"/>
        </w:rPr>
        <w:t>(a fronte dell’obiettivo di perseguire – per esempio – le integrazioni tra singole fasi delle attività di produzione e commercializzazione); </w:t>
      </w:r>
      <w:r w:rsidRPr="004B4E20">
        <w:rPr>
          <w:rFonts w:ascii="Garamond" w:eastAsia="Times New Roman" w:hAnsi="Garamond" w:cs="Times New Roman"/>
          <w:i/>
          <w:iCs/>
          <w:color w:val="000000"/>
          <w:sz w:val="30"/>
          <w:szCs w:val="30"/>
          <w:lang w:eastAsia="it-IT"/>
        </w:rPr>
        <w:t>d</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finanziarie</w:t>
      </w:r>
      <w:r w:rsidRPr="004B4E20">
        <w:rPr>
          <w:rFonts w:ascii="Garamond" w:eastAsia="Times New Roman" w:hAnsi="Garamond" w:cs="Times New Roman"/>
          <w:color w:val="000000"/>
          <w:sz w:val="30"/>
          <w:szCs w:val="30"/>
          <w:lang w:eastAsia="it-IT"/>
        </w:rPr>
        <w:t> (specie se la ristrutturazione è finalizzata all’attuazione di un piano di riequilibrio degli assetti societari); </w:t>
      </w:r>
      <w:r w:rsidRPr="004B4E20">
        <w:rPr>
          <w:rFonts w:ascii="Garamond" w:eastAsia="Times New Roman" w:hAnsi="Garamond" w:cs="Times New Roman"/>
          <w:i/>
          <w:iCs/>
          <w:color w:val="000000"/>
          <w:sz w:val="30"/>
          <w:szCs w:val="30"/>
          <w:lang w:eastAsia="it-IT"/>
        </w:rPr>
        <w:t>e</w:t>
      </w:r>
      <w:r w:rsidRPr="004B4E20">
        <w:rPr>
          <w:rFonts w:ascii="Garamond" w:eastAsia="Times New Roman" w:hAnsi="Garamond" w:cs="Times New Roman"/>
          <w:color w:val="000000"/>
          <w:sz w:val="30"/>
          <w:szCs w:val="30"/>
          <w:lang w:eastAsia="it-IT"/>
        </w:rPr>
        <w:t>) </w:t>
      </w:r>
      <w:r w:rsidRPr="004B4E20">
        <w:rPr>
          <w:rFonts w:ascii="Garamond" w:eastAsia="Times New Roman" w:hAnsi="Garamond" w:cs="Times New Roman"/>
          <w:i/>
          <w:iCs/>
          <w:color w:val="000000"/>
          <w:sz w:val="30"/>
          <w:szCs w:val="30"/>
          <w:lang w:eastAsia="it-IT"/>
        </w:rPr>
        <w:t>amministrative </w:t>
      </w:r>
      <w:r w:rsidRPr="004B4E20">
        <w:rPr>
          <w:rFonts w:ascii="Garamond" w:eastAsia="Times New Roman" w:hAnsi="Garamond" w:cs="Times New Roman"/>
          <w:color w:val="000000"/>
          <w:sz w:val="30"/>
          <w:szCs w:val="30"/>
          <w:lang w:eastAsia="it-IT"/>
        </w:rPr>
        <w:t>(là dove preordinate alla razionalizzazione dell’organigramma ed alla riduzione dei costi di gestione).</w:t>
      </w:r>
    </w:p>
    <w:p w14:paraId="759C9535"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Il perseguimento di questi obiettivi di integrazione, razionalizzazione, valorizzazione o contingentamento delle risorse si coniuga, del resto, perfettamente con la spinta – da anni promossa dal legislatore – alla riduzione della spesa pubblica, anche attraverso la previsione di limiti all’assunzione ed al mantenimento di partecipazioni sociali.</w:t>
      </w:r>
    </w:p>
    <w:p w14:paraId="13151143"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In questa prospettiva deve, del resto, leggersi il disposto dell’art. 20, comma 1 T.U., secondo cui le amministrazioni pubbliche effettuano annualmente un’analisi dell’assetto complessivo delle società di cui detengono partecipazioni, dirette o indirette, predisponendo, ove ne ricorrano i presupposti, un piano di riassetto per la loro razionalizzazione, fusione o soppressione. E l’art. 20, comma 5 illustra al </w:t>
      </w:r>
      <w:r w:rsidRPr="004B4E20">
        <w:rPr>
          <w:rFonts w:ascii="Garamond" w:eastAsia="Times New Roman" w:hAnsi="Garamond" w:cs="Times New Roman"/>
          <w:color w:val="000000"/>
          <w:sz w:val="30"/>
          <w:szCs w:val="30"/>
          <w:lang w:eastAsia="it-IT"/>
        </w:rPr>
        <w:lastRenderedPageBreak/>
        <w:t>contempo il contenuto dei piani di riassetto, precisando che gli stessi possono prevedere anche la dismissione o l’assegnazione in virtù di </w:t>
      </w:r>
      <w:r w:rsidRPr="004B4E20">
        <w:rPr>
          <w:rFonts w:ascii="Garamond" w:eastAsia="Times New Roman" w:hAnsi="Garamond" w:cs="Times New Roman"/>
          <w:i/>
          <w:iCs/>
          <w:color w:val="000000"/>
          <w:sz w:val="30"/>
          <w:szCs w:val="30"/>
          <w:lang w:eastAsia="it-IT"/>
        </w:rPr>
        <w:t>operazioni straordinarie </w:t>
      </w:r>
      <w:r w:rsidRPr="004B4E20">
        <w:rPr>
          <w:rFonts w:ascii="Garamond" w:eastAsia="Times New Roman" w:hAnsi="Garamond" w:cs="Times New Roman"/>
          <w:color w:val="000000"/>
          <w:sz w:val="30"/>
          <w:szCs w:val="30"/>
          <w:lang w:eastAsia="it-IT"/>
        </w:rPr>
        <w:t>delle partecipazioni societarie.</w:t>
      </w:r>
    </w:p>
    <w:p w14:paraId="2A43FD40"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6.2.3.- Ciò precisato, la adozione della delibera di fusione e scissione di società partecipata non è, anzitutto e preliminarmente, sottoposta </w:t>
      </w:r>
      <w:r w:rsidRPr="004B4E20">
        <w:rPr>
          <w:rFonts w:ascii="Garamond" w:eastAsia="Times New Roman" w:hAnsi="Garamond" w:cs="Times New Roman"/>
          <w:i/>
          <w:iCs/>
          <w:color w:val="000000"/>
          <w:sz w:val="30"/>
          <w:szCs w:val="30"/>
          <w:lang w:eastAsia="it-IT"/>
        </w:rPr>
        <w:t>in quanto tale </w:t>
      </w:r>
      <w:r w:rsidRPr="004B4E20">
        <w:rPr>
          <w:rFonts w:ascii="Garamond" w:eastAsia="Times New Roman" w:hAnsi="Garamond" w:cs="Times New Roman"/>
          <w:color w:val="000000"/>
          <w:sz w:val="30"/>
          <w:szCs w:val="30"/>
          <w:lang w:eastAsia="it-IT"/>
        </w:rPr>
        <w:t>ai vincoli del procedimento </w:t>
      </w:r>
      <w:r w:rsidRPr="004B4E20">
        <w:rPr>
          <w:rFonts w:ascii="Garamond" w:eastAsia="Times New Roman" w:hAnsi="Garamond" w:cs="Times New Roman"/>
          <w:i/>
          <w:iCs/>
          <w:color w:val="000000"/>
          <w:sz w:val="30"/>
          <w:szCs w:val="30"/>
          <w:lang w:eastAsia="it-IT"/>
        </w:rPr>
        <w:t>aggravato </w:t>
      </w:r>
      <w:r w:rsidRPr="004B4E20">
        <w:rPr>
          <w:rFonts w:ascii="Garamond" w:eastAsia="Times New Roman" w:hAnsi="Garamond" w:cs="Times New Roman"/>
          <w:color w:val="000000"/>
          <w:sz w:val="30"/>
          <w:szCs w:val="30"/>
          <w:lang w:eastAsia="it-IT"/>
        </w:rPr>
        <w:t>contenuto invece per l’operazione di trasformazione ai sensi dell’art. 7, comma 7 T.U.</w:t>
      </w:r>
    </w:p>
    <w:p w14:paraId="0D5745C9"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Peraltro – in ragione del fatto che le operazioni di fusione e scissione sono idonee a produrre modificazioni dell’assetto organizzativo non meno invasive e radicali rispetto alle operazioni di trasformazione – si deve ritenere che, almeno in talune fattispecie (</w:t>
      </w:r>
      <w:r w:rsidRPr="004B4E20">
        <w:rPr>
          <w:rFonts w:ascii="Garamond" w:eastAsia="Times New Roman" w:hAnsi="Garamond" w:cs="Times New Roman"/>
          <w:i/>
          <w:iCs/>
          <w:color w:val="000000"/>
          <w:sz w:val="30"/>
          <w:szCs w:val="30"/>
          <w:lang w:eastAsia="it-IT"/>
        </w:rPr>
        <w:t>e certamente, come non a caso è puntualmente avvenuto, nella vicenda in esame</w:t>
      </w:r>
      <w:r w:rsidRPr="004B4E20">
        <w:rPr>
          <w:rFonts w:ascii="Garamond" w:eastAsia="Times New Roman" w:hAnsi="Garamond" w:cs="Times New Roman"/>
          <w:color w:val="000000"/>
          <w:sz w:val="30"/>
          <w:szCs w:val="30"/>
          <w:lang w:eastAsia="it-IT"/>
        </w:rPr>
        <w:t>) la deliberazione di fusione e scissione di società partecipate debba senz’altro sottostare alle procedure decisionali predeterminate all’art. 7, comma 7, con riguardo alla preventiva approvazione dell’amministrazione partecipante ed alla congrua motivazione dell’atto deliberativo anche sulla convenienza economica e sulla sostenibilità finanziaria per il socio pubblico.</w:t>
      </w:r>
    </w:p>
    <w:p w14:paraId="681CF913"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È, segnatamente, il caso: </w:t>
      </w: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di operazioni di fusione e scissione che comportino anche l’effetto del </w:t>
      </w:r>
      <w:r w:rsidRPr="004B4E20">
        <w:rPr>
          <w:rFonts w:ascii="Garamond" w:eastAsia="Times New Roman" w:hAnsi="Garamond" w:cs="Times New Roman"/>
          <w:i/>
          <w:iCs/>
          <w:color w:val="000000"/>
          <w:sz w:val="30"/>
          <w:szCs w:val="30"/>
          <w:lang w:eastAsia="it-IT"/>
        </w:rPr>
        <w:t>mutamento del modello organizzativo</w:t>
      </w:r>
      <w:r w:rsidRPr="004B4E20">
        <w:rPr>
          <w:rFonts w:ascii="Garamond" w:eastAsia="Times New Roman" w:hAnsi="Garamond" w:cs="Times New Roman"/>
          <w:color w:val="000000"/>
          <w:sz w:val="30"/>
          <w:szCs w:val="30"/>
          <w:lang w:eastAsia="it-IT"/>
        </w:rPr>
        <w:t> (in questa eventualità dovendosi, infatti, coerentemente applicare in via concorrente le </w:t>
      </w:r>
      <w:r w:rsidRPr="004B4E20">
        <w:rPr>
          <w:rFonts w:ascii="Garamond" w:eastAsia="Times New Roman" w:hAnsi="Garamond" w:cs="Times New Roman"/>
          <w:i/>
          <w:iCs/>
          <w:color w:val="000000"/>
          <w:sz w:val="30"/>
          <w:szCs w:val="30"/>
          <w:lang w:eastAsia="it-IT"/>
        </w:rPr>
        <w:t>norme dedicate alla trasformazione</w:t>
      </w:r>
      <w:r w:rsidRPr="004B4E20">
        <w:rPr>
          <w:rFonts w:ascii="Garamond" w:eastAsia="Times New Roman" w:hAnsi="Garamond" w:cs="Times New Roman"/>
          <w:color w:val="000000"/>
          <w:sz w:val="30"/>
          <w:szCs w:val="30"/>
          <w:lang w:eastAsia="it-IT"/>
        </w:rPr>
        <w:t> della società); </w:t>
      </w: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di operazioni di fusione e scissione che determinino, per la complessità dell’operazione di ristrutturazione concretamente congegnata, anche la </w:t>
      </w:r>
      <w:r w:rsidRPr="004B4E20">
        <w:rPr>
          <w:rFonts w:ascii="Garamond" w:eastAsia="Times New Roman" w:hAnsi="Garamond" w:cs="Times New Roman"/>
          <w:i/>
          <w:iCs/>
          <w:color w:val="000000"/>
          <w:sz w:val="30"/>
          <w:szCs w:val="30"/>
          <w:lang w:eastAsia="it-IT"/>
        </w:rPr>
        <w:t>costituzione di un nuovo ente</w:t>
      </w:r>
      <w:r w:rsidRPr="004B4E20">
        <w:rPr>
          <w:rFonts w:ascii="Garamond" w:eastAsia="Times New Roman" w:hAnsi="Garamond" w:cs="Times New Roman"/>
          <w:color w:val="000000"/>
          <w:sz w:val="30"/>
          <w:szCs w:val="30"/>
          <w:lang w:eastAsia="it-IT"/>
        </w:rPr>
        <w:t> (es. fusione tra due società in favore di società di nuova costituzione o scissione parziale in favore di società di nuova costituzione).</w:t>
      </w:r>
    </w:p>
    <w:p w14:paraId="3A8C2B90"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Invero, di là dalla disputa, di ordine essenzialmente dogmatico, sul corretto inquadramento di queste operazioni sul piano della fattispecie costitutivo-traslativa o di quella organizzativo-modificativa, non si può disconoscere che, in una chiave di lettura funzionale, attenta all’analisi degli interessi rilevanti, la fusione e la scissione </w:t>
      </w:r>
      <w:r w:rsidRPr="004B4E20">
        <w:rPr>
          <w:rFonts w:ascii="Garamond" w:eastAsia="Times New Roman" w:hAnsi="Garamond" w:cs="Times New Roman"/>
          <w:color w:val="000000"/>
          <w:sz w:val="30"/>
          <w:szCs w:val="30"/>
          <w:lang w:eastAsia="it-IT"/>
        </w:rPr>
        <w:lastRenderedPageBreak/>
        <w:t>rappresentino vicende obiettivamente complesse, non riducibili </w:t>
      </w:r>
      <w:r w:rsidRPr="004B4E20">
        <w:rPr>
          <w:rFonts w:ascii="Garamond" w:eastAsia="Times New Roman" w:hAnsi="Garamond" w:cs="Times New Roman"/>
          <w:i/>
          <w:iCs/>
          <w:color w:val="000000"/>
          <w:sz w:val="30"/>
          <w:szCs w:val="30"/>
          <w:lang w:eastAsia="it-IT"/>
        </w:rPr>
        <w:t>sic et simpliciter </w:t>
      </w:r>
      <w:r w:rsidRPr="004B4E20">
        <w:rPr>
          <w:rFonts w:ascii="Garamond" w:eastAsia="Times New Roman" w:hAnsi="Garamond" w:cs="Times New Roman"/>
          <w:color w:val="000000"/>
          <w:sz w:val="30"/>
          <w:szCs w:val="30"/>
          <w:lang w:eastAsia="it-IT"/>
        </w:rPr>
        <w:t>al piano di mera costituzione di società.</w:t>
      </w:r>
    </w:p>
    <w:p w14:paraId="2E700F1A"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Ciò detto, tanto l’operazione di fusione, quanto l’operazione di scissione possono essere (con le stesse caratteristiche e limiti che valgono per la trasformazione) </w:t>
      </w:r>
      <w:r w:rsidRPr="004B4E20">
        <w:rPr>
          <w:rFonts w:ascii="Garamond" w:eastAsia="Times New Roman" w:hAnsi="Garamond" w:cs="Times New Roman"/>
          <w:i/>
          <w:iCs/>
          <w:color w:val="000000"/>
          <w:sz w:val="30"/>
          <w:szCs w:val="30"/>
          <w:lang w:eastAsia="it-IT"/>
        </w:rPr>
        <w:t>eterogenee</w:t>
      </w:r>
      <w:r w:rsidRPr="004B4E20">
        <w:rPr>
          <w:rFonts w:ascii="Garamond" w:eastAsia="Times New Roman" w:hAnsi="Garamond" w:cs="Times New Roman"/>
          <w:color w:val="000000"/>
          <w:sz w:val="30"/>
          <w:szCs w:val="30"/>
          <w:lang w:eastAsia="it-IT"/>
        </w:rPr>
        <w:t>, quando l’operazione interessi anche enti diversi dalla società di capitali, od </w:t>
      </w:r>
      <w:r w:rsidRPr="004B4E20">
        <w:rPr>
          <w:rFonts w:ascii="Garamond" w:eastAsia="Times New Roman" w:hAnsi="Garamond" w:cs="Times New Roman"/>
          <w:i/>
          <w:iCs/>
          <w:color w:val="000000"/>
          <w:sz w:val="30"/>
          <w:szCs w:val="30"/>
          <w:lang w:eastAsia="it-IT"/>
        </w:rPr>
        <w:t>omogenee, </w:t>
      </w:r>
      <w:r w:rsidRPr="004B4E20">
        <w:rPr>
          <w:rFonts w:ascii="Garamond" w:eastAsia="Times New Roman" w:hAnsi="Garamond" w:cs="Times New Roman"/>
          <w:color w:val="000000"/>
          <w:sz w:val="30"/>
          <w:szCs w:val="30"/>
          <w:lang w:eastAsia="it-IT"/>
        </w:rPr>
        <w:t>quando interessino solamente società di capitali. Peraltro, in quest’ultimo caso, non è richiesto che tutte le società siano a partecipazione pubblica.</w:t>
      </w:r>
    </w:p>
    <w:p w14:paraId="1C001F7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6.2.4.- In tutte le situazioni considerate, va, in ogni caso, tenuto per fermo che – se l’effetto dell’operazione è </w:t>
      </w:r>
      <w:r w:rsidRPr="004B4E20">
        <w:rPr>
          <w:rFonts w:ascii="Garamond" w:eastAsia="Times New Roman" w:hAnsi="Garamond" w:cs="Times New Roman"/>
          <w:i/>
          <w:iCs/>
          <w:color w:val="000000"/>
          <w:sz w:val="30"/>
          <w:szCs w:val="30"/>
          <w:lang w:eastAsia="it-IT"/>
        </w:rPr>
        <w:t>l’allargamento della compagine sociale a soci privati</w:t>
      </w:r>
      <w:r w:rsidRPr="004B4E20">
        <w:rPr>
          <w:rFonts w:ascii="Garamond" w:eastAsia="Times New Roman" w:hAnsi="Garamond" w:cs="Times New Roman"/>
          <w:color w:val="000000"/>
          <w:sz w:val="30"/>
          <w:szCs w:val="30"/>
          <w:lang w:eastAsia="it-IT"/>
        </w:rPr>
        <w:t> o la </w:t>
      </w:r>
      <w:r w:rsidRPr="004B4E20">
        <w:rPr>
          <w:rFonts w:ascii="Garamond" w:eastAsia="Times New Roman" w:hAnsi="Garamond" w:cs="Times New Roman"/>
          <w:i/>
          <w:iCs/>
          <w:color w:val="000000"/>
          <w:sz w:val="30"/>
          <w:szCs w:val="30"/>
          <w:lang w:eastAsia="it-IT"/>
        </w:rPr>
        <w:t>creazione di una società nella quale coesistano soci pubblici e privati</w:t>
      </w:r>
      <w:r w:rsidRPr="004B4E20">
        <w:rPr>
          <w:rFonts w:ascii="Garamond" w:eastAsia="Times New Roman" w:hAnsi="Garamond" w:cs="Times New Roman"/>
          <w:color w:val="000000"/>
          <w:sz w:val="30"/>
          <w:szCs w:val="30"/>
          <w:lang w:eastAsia="it-IT"/>
        </w:rPr>
        <w:t> – si dovrà tener conto dei vincoli stabiliti prettamente per le società c.d. miste.</w:t>
      </w:r>
    </w:p>
    <w:p w14:paraId="4BC46CA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Nei casi, in cui, in particolare, l’operazione risulti funzionale alla creazione di una società c.d. mista destinata a (realizzare e gestire un’opera ovvero) </w:t>
      </w:r>
      <w:r w:rsidRPr="004B4E20">
        <w:rPr>
          <w:rFonts w:ascii="Garamond" w:eastAsia="Times New Roman" w:hAnsi="Garamond" w:cs="Times New Roman"/>
          <w:i/>
          <w:iCs/>
          <w:color w:val="000000"/>
          <w:sz w:val="30"/>
          <w:szCs w:val="30"/>
          <w:lang w:eastAsia="it-IT"/>
        </w:rPr>
        <w:t>organizzare e gestire un servizio di interesse generale in regime di partenariato con un imprenditore privato</w:t>
      </w:r>
      <w:r w:rsidRPr="004B4E20">
        <w:rPr>
          <w:rFonts w:ascii="Garamond" w:eastAsia="Times New Roman" w:hAnsi="Garamond" w:cs="Times New Roman"/>
          <w:color w:val="000000"/>
          <w:sz w:val="30"/>
          <w:szCs w:val="30"/>
          <w:lang w:eastAsia="it-IT"/>
        </w:rPr>
        <w:t> (art. 4, lett.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 T.U.), l’operazione dovrà essere progettata in modo tale che:</w:t>
      </w:r>
    </w:p>
    <w:p w14:paraId="49891AA2"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i/>
          <w:iCs/>
          <w:color w:val="000000"/>
          <w:sz w:val="30"/>
          <w:szCs w:val="30"/>
          <w:lang w:eastAsia="it-IT"/>
        </w:rPr>
        <w:t>a</w:t>
      </w:r>
      <w:r w:rsidRPr="004B4E20">
        <w:rPr>
          <w:rFonts w:ascii="Garamond" w:eastAsia="Times New Roman" w:hAnsi="Garamond" w:cs="Times New Roman"/>
          <w:color w:val="000000"/>
          <w:sz w:val="30"/>
          <w:szCs w:val="30"/>
          <w:lang w:eastAsia="it-IT"/>
        </w:rPr>
        <w:t>) per un verso, l’individuazione del soggetto deputato a divenire socio privato della società derivante dalla fusione o scissione avvenga mediante </w:t>
      </w:r>
      <w:r w:rsidRPr="004B4E20">
        <w:rPr>
          <w:rFonts w:ascii="Garamond" w:eastAsia="Times New Roman" w:hAnsi="Garamond" w:cs="Times New Roman"/>
          <w:i/>
          <w:iCs/>
          <w:color w:val="000000"/>
          <w:sz w:val="30"/>
          <w:szCs w:val="30"/>
          <w:lang w:eastAsia="it-IT"/>
        </w:rPr>
        <w:t>meccanismi di selezione con esperimento di procedure aperte o, nei casi previsti dalla legge, di procedure competitive di negoziazione</w:t>
      </w:r>
      <w:r w:rsidRPr="004B4E20">
        <w:rPr>
          <w:rFonts w:ascii="Garamond" w:eastAsia="Times New Roman" w:hAnsi="Garamond" w:cs="Times New Roman"/>
          <w:color w:val="000000"/>
          <w:sz w:val="30"/>
          <w:szCs w:val="30"/>
          <w:lang w:eastAsia="it-IT"/>
        </w:rPr>
        <w:t> (</w:t>
      </w:r>
      <w:proofErr w:type="spellStart"/>
      <w:r w:rsidRPr="004B4E20">
        <w:rPr>
          <w:rFonts w:ascii="Garamond" w:eastAsia="Times New Roman" w:hAnsi="Garamond" w:cs="Times New Roman"/>
          <w:i/>
          <w:iCs/>
          <w:color w:val="000000"/>
          <w:sz w:val="30"/>
          <w:szCs w:val="30"/>
          <w:lang w:eastAsia="it-IT"/>
        </w:rPr>
        <w:t>arg</w:t>
      </w:r>
      <w:proofErr w:type="spellEnd"/>
      <w:r w:rsidRPr="004B4E20">
        <w:rPr>
          <w:rFonts w:ascii="Garamond" w:eastAsia="Times New Roman" w:hAnsi="Garamond" w:cs="Times New Roman"/>
          <w:i/>
          <w:iCs/>
          <w:color w:val="000000"/>
          <w:sz w:val="30"/>
          <w:szCs w:val="30"/>
          <w:lang w:eastAsia="it-IT"/>
        </w:rPr>
        <w:t>. ex </w:t>
      </w:r>
      <w:r w:rsidRPr="004B4E20">
        <w:rPr>
          <w:rFonts w:ascii="Garamond" w:eastAsia="Times New Roman" w:hAnsi="Garamond" w:cs="Times New Roman"/>
          <w:color w:val="000000"/>
          <w:sz w:val="30"/>
          <w:szCs w:val="30"/>
          <w:lang w:eastAsia="it-IT"/>
        </w:rPr>
        <w:t>art. 7, comma 5);</w:t>
      </w:r>
    </w:p>
    <w:p w14:paraId="2BCF9C22"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i/>
          <w:iCs/>
          <w:color w:val="000000"/>
          <w:sz w:val="30"/>
          <w:szCs w:val="30"/>
          <w:lang w:eastAsia="it-IT"/>
        </w:rPr>
        <w:t>b</w:t>
      </w:r>
      <w:r w:rsidRPr="004B4E20">
        <w:rPr>
          <w:rFonts w:ascii="Garamond" w:eastAsia="Times New Roman" w:hAnsi="Garamond" w:cs="Times New Roman"/>
          <w:color w:val="000000"/>
          <w:sz w:val="30"/>
          <w:szCs w:val="30"/>
          <w:lang w:eastAsia="it-IT"/>
        </w:rPr>
        <w:t>) per altro verso, la quota di partecipazione da assegnare al socio privato non sia inferiore al trenta per cento (</w:t>
      </w:r>
      <w:proofErr w:type="spellStart"/>
      <w:r w:rsidRPr="004B4E20">
        <w:rPr>
          <w:rFonts w:ascii="Garamond" w:eastAsia="Times New Roman" w:hAnsi="Garamond" w:cs="Times New Roman"/>
          <w:i/>
          <w:iCs/>
          <w:color w:val="000000"/>
          <w:sz w:val="30"/>
          <w:szCs w:val="30"/>
          <w:lang w:eastAsia="it-IT"/>
        </w:rPr>
        <w:t>arg</w:t>
      </w:r>
      <w:proofErr w:type="spellEnd"/>
      <w:r w:rsidRPr="004B4E20">
        <w:rPr>
          <w:rFonts w:ascii="Garamond" w:eastAsia="Times New Roman" w:hAnsi="Garamond" w:cs="Times New Roman"/>
          <w:i/>
          <w:iCs/>
          <w:color w:val="000000"/>
          <w:sz w:val="30"/>
          <w:szCs w:val="30"/>
          <w:lang w:eastAsia="it-IT"/>
        </w:rPr>
        <w:t>. ex </w:t>
      </w:r>
      <w:r w:rsidRPr="004B4E20">
        <w:rPr>
          <w:rFonts w:ascii="Garamond" w:eastAsia="Times New Roman" w:hAnsi="Garamond" w:cs="Times New Roman"/>
          <w:color w:val="000000"/>
          <w:sz w:val="30"/>
          <w:szCs w:val="30"/>
          <w:lang w:eastAsia="it-IT"/>
        </w:rPr>
        <w:t>art. 17, comma 1).</w:t>
      </w:r>
    </w:p>
    <w:p w14:paraId="56A591AD"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Quando, per contro, la società derivante dalla operazione straordinaria fosse destinata ad operare </w:t>
      </w:r>
      <w:r w:rsidRPr="004B4E20">
        <w:rPr>
          <w:rFonts w:ascii="Garamond" w:eastAsia="Times New Roman" w:hAnsi="Garamond" w:cs="Times New Roman"/>
          <w:i/>
          <w:iCs/>
          <w:color w:val="000000"/>
          <w:sz w:val="30"/>
          <w:szCs w:val="30"/>
          <w:lang w:eastAsia="it-IT"/>
        </w:rPr>
        <w:t>in house </w:t>
      </w:r>
      <w:r w:rsidRPr="004B4E20">
        <w:rPr>
          <w:rFonts w:ascii="Garamond" w:eastAsia="Times New Roman" w:hAnsi="Garamond" w:cs="Times New Roman"/>
          <w:color w:val="000000"/>
          <w:sz w:val="30"/>
          <w:szCs w:val="30"/>
          <w:lang w:eastAsia="it-IT"/>
        </w:rPr>
        <w:t xml:space="preserve">in favore di una o più amministrazioni, il progetto di fusione o scissione dovrà obbligatoriamente programmare, tra l’altro, l’introduzione di limiti stringenti entro i quali ammettere la partecipazione del socio privato, atteso che quest’ultima, ancorché prevista dalla legge, deve avere uno spessore del tutto </w:t>
      </w:r>
      <w:r w:rsidRPr="004B4E20">
        <w:rPr>
          <w:rFonts w:ascii="Garamond" w:eastAsia="Times New Roman" w:hAnsi="Garamond" w:cs="Times New Roman"/>
          <w:color w:val="000000"/>
          <w:sz w:val="30"/>
          <w:szCs w:val="30"/>
          <w:lang w:eastAsia="it-IT"/>
        </w:rPr>
        <w:lastRenderedPageBreak/>
        <w:t>marginale, nel senso di non comportare un controllo o un potere di veto, né l’esercizio di un’influenza dominante sulla società (</w:t>
      </w:r>
      <w:proofErr w:type="spellStart"/>
      <w:r w:rsidRPr="004B4E20">
        <w:rPr>
          <w:rFonts w:ascii="Garamond" w:eastAsia="Times New Roman" w:hAnsi="Garamond" w:cs="Times New Roman"/>
          <w:i/>
          <w:iCs/>
          <w:color w:val="000000"/>
          <w:sz w:val="30"/>
          <w:szCs w:val="30"/>
          <w:lang w:eastAsia="it-IT"/>
        </w:rPr>
        <w:t>arg</w:t>
      </w:r>
      <w:proofErr w:type="spellEnd"/>
      <w:r w:rsidRPr="004B4E20">
        <w:rPr>
          <w:rFonts w:ascii="Garamond" w:eastAsia="Times New Roman" w:hAnsi="Garamond" w:cs="Times New Roman"/>
          <w:i/>
          <w:iCs/>
          <w:color w:val="000000"/>
          <w:sz w:val="30"/>
          <w:szCs w:val="30"/>
          <w:lang w:eastAsia="it-IT"/>
        </w:rPr>
        <w:t>. ex </w:t>
      </w:r>
      <w:r w:rsidRPr="004B4E20">
        <w:rPr>
          <w:rFonts w:ascii="Garamond" w:eastAsia="Times New Roman" w:hAnsi="Garamond" w:cs="Times New Roman"/>
          <w:color w:val="000000"/>
          <w:sz w:val="30"/>
          <w:szCs w:val="30"/>
          <w:lang w:eastAsia="it-IT"/>
        </w:rPr>
        <w:t>art. 16, comma 1).</w:t>
      </w:r>
    </w:p>
    <w:p w14:paraId="28D28512"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6.2.5.- Una ipotesi ricorrente in cui sussiste un tipico interesse ad una fusione o scissione di società partecipata è quello che coinvolge, come nella specie, società locali cc.dd. multiservizi (</w:t>
      </w:r>
      <w:proofErr w:type="spellStart"/>
      <w:r w:rsidRPr="004B4E20">
        <w:rPr>
          <w:rFonts w:ascii="Garamond" w:eastAsia="Times New Roman" w:hAnsi="Garamond" w:cs="Times New Roman"/>
          <w:i/>
          <w:iCs/>
          <w:color w:val="000000"/>
          <w:sz w:val="30"/>
          <w:szCs w:val="30"/>
          <w:lang w:eastAsia="it-IT"/>
        </w:rPr>
        <w:t>multiutiliy</w:t>
      </w:r>
      <w:proofErr w:type="spellEnd"/>
      <w:r w:rsidRPr="004B4E20">
        <w:rPr>
          <w:rFonts w:ascii="Garamond" w:eastAsia="Times New Roman" w:hAnsi="Garamond" w:cs="Times New Roman"/>
          <w:color w:val="000000"/>
          <w:sz w:val="30"/>
          <w:szCs w:val="30"/>
          <w:lang w:eastAsia="it-IT"/>
        </w:rPr>
        <w:t>), sovente partecipate da un ente pubblico locale e destinate allo svolgimento tanto di servizi pubblici locali quanto di servizi c.d. strumentali.</w:t>
      </w:r>
    </w:p>
    <w:p w14:paraId="2F47DA9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In effetti, in presenza di vincoli di esclusività previsti dalla normativa nazionale (cfr. art. 16 T.U.), l’amministrazione pubblica (che partecipa e controlla la società) può ragionevolmente decidere la scissione parziale, con l’effetto di realizzare una netta separazione nella gestione delle aree operative.</w:t>
      </w:r>
    </w:p>
    <w:p w14:paraId="729A48B1"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Né va escluso che una società partecipata progetti la fusione con una società privata: scopo della fusione essendo, in tale circostanza, quello di creare una società a partecipazione mista pubblico-privata per le finalità di (realizzare e gestire un’opera ovvero) organizzare e gestire un servizio di interesse economico generale </w:t>
      </w:r>
      <w:r w:rsidRPr="004B4E20">
        <w:rPr>
          <w:rFonts w:ascii="Garamond" w:eastAsia="Times New Roman" w:hAnsi="Garamond" w:cs="Times New Roman"/>
          <w:i/>
          <w:iCs/>
          <w:color w:val="000000"/>
          <w:sz w:val="30"/>
          <w:szCs w:val="30"/>
          <w:lang w:eastAsia="it-IT"/>
        </w:rPr>
        <w:t>in regime di partenariato</w:t>
      </w:r>
      <w:r w:rsidRPr="004B4E20">
        <w:rPr>
          <w:rFonts w:ascii="Garamond" w:eastAsia="Times New Roman" w:hAnsi="Garamond" w:cs="Times New Roman"/>
          <w:color w:val="000000"/>
          <w:sz w:val="30"/>
          <w:szCs w:val="30"/>
          <w:lang w:eastAsia="it-IT"/>
        </w:rPr>
        <w:t> (</w:t>
      </w:r>
      <w:proofErr w:type="spellStart"/>
      <w:r w:rsidRPr="004B4E20">
        <w:rPr>
          <w:rFonts w:ascii="Garamond" w:eastAsia="Times New Roman" w:hAnsi="Garamond" w:cs="Times New Roman"/>
          <w:i/>
          <w:iCs/>
          <w:color w:val="000000"/>
          <w:sz w:val="30"/>
          <w:szCs w:val="30"/>
          <w:lang w:eastAsia="it-IT"/>
        </w:rPr>
        <w:t>arg</w:t>
      </w:r>
      <w:proofErr w:type="spellEnd"/>
      <w:r w:rsidRPr="004B4E20">
        <w:rPr>
          <w:rFonts w:ascii="Garamond" w:eastAsia="Times New Roman" w:hAnsi="Garamond" w:cs="Times New Roman"/>
          <w:i/>
          <w:iCs/>
          <w:color w:val="000000"/>
          <w:sz w:val="30"/>
          <w:szCs w:val="30"/>
          <w:lang w:eastAsia="it-IT"/>
        </w:rPr>
        <w:t>. ex </w:t>
      </w:r>
      <w:r w:rsidRPr="004B4E20">
        <w:rPr>
          <w:rFonts w:ascii="Garamond" w:eastAsia="Times New Roman" w:hAnsi="Garamond" w:cs="Times New Roman"/>
          <w:color w:val="000000"/>
          <w:sz w:val="30"/>
          <w:szCs w:val="30"/>
          <w:lang w:eastAsia="it-IT"/>
        </w:rPr>
        <w:t>art. 4, comma 2 lett. </w:t>
      </w:r>
      <w:r w:rsidRPr="004B4E20">
        <w:rPr>
          <w:rFonts w:ascii="Garamond" w:eastAsia="Times New Roman" w:hAnsi="Garamond" w:cs="Times New Roman"/>
          <w:i/>
          <w:iCs/>
          <w:color w:val="000000"/>
          <w:sz w:val="30"/>
          <w:szCs w:val="30"/>
          <w:lang w:eastAsia="it-IT"/>
        </w:rPr>
        <w:t>c</w:t>
      </w:r>
      <w:r w:rsidRPr="004B4E20">
        <w:rPr>
          <w:rFonts w:ascii="Garamond" w:eastAsia="Times New Roman" w:hAnsi="Garamond" w:cs="Times New Roman"/>
          <w:color w:val="000000"/>
          <w:sz w:val="30"/>
          <w:szCs w:val="30"/>
          <w:lang w:eastAsia="it-IT"/>
        </w:rPr>
        <w:t>).</w:t>
      </w:r>
    </w:p>
    <w:p w14:paraId="23E3AD15"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In questo caso, di nuovo, al fine di dare corretta attuazione al disposto dell’art. 17 T.U., il progetto di fusione deve </w:t>
      </w:r>
      <w:r w:rsidRPr="004B4E20">
        <w:rPr>
          <w:rFonts w:ascii="Garamond" w:eastAsia="Times New Roman" w:hAnsi="Garamond" w:cs="Times New Roman"/>
          <w:i/>
          <w:iCs/>
          <w:color w:val="000000"/>
          <w:sz w:val="30"/>
          <w:szCs w:val="30"/>
          <w:lang w:eastAsia="it-IT"/>
        </w:rPr>
        <w:t>esattamente indicare la società privata selezionata attraverso una procedura di evidenza pubblica</w:t>
      </w:r>
      <w:r w:rsidRPr="004B4E20">
        <w:rPr>
          <w:rFonts w:ascii="Garamond" w:eastAsia="Times New Roman" w:hAnsi="Garamond" w:cs="Times New Roman"/>
          <w:color w:val="000000"/>
          <w:sz w:val="30"/>
          <w:szCs w:val="30"/>
          <w:lang w:eastAsia="it-IT"/>
        </w:rPr>
        <w:t> – precisando, peraltro, i compiti operativi del socio privato – e </w:t>
      </w:r>
      <w:r w:rsidRPr="004B4E20">
        <w:rPr>
          <w:rFonts w:ascii="Garamond" w:eastAsia="Times New Roman" w:hAnsi="Garamond" w:cs="Times New Roman"/>
          <w:i/>
          <w:iCs/>
          <w:color w:val="000000"/>
          <w:sz w:val="30"/>
          <w:szCs w:val="30"/>
          <w:lang w:eastAsia="it-IT"/>
        </w:rPr>
        <w:t>predeterminare il rapporto di cambio</w:t>
      </w:r>
      <w:r w:rsidRPr="004B4E20">
        <w:rPr>
          <w:rFonts w:ascii="Garamond" w:eastAsia="Times New Roman" w:hAnsi="Garamond" w:cs="Times New Roman"/>
          <w:color w:val="000000"/>
          <w:sz w:val="30"/>
          <w:szCs w:val="30"/>
          <w:lang w:eastAsia="it-IT"/>
        </w:rPr>
        <w:t> in modo che al socio privato venga assegnata una quota di partecipazione non inferiore al 30% del nuovo capitale sociale della società derivante dalla fusione.</w:t>
      </w:r>
    </w:p>
    <w:p w14:paraId="7073BEFD"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6.3.- È alla luce delle riassunte coordinate che va esaminata la vicenda in contestazione.</w:t>
      </w:r>
    </w:p>
    <w:p w14:paraId="2372F13D"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Risulta allora, in principio, corretta l’impostazione adottata dal primo giudice, che ha giustamente ricusato l’argomento formalistico per cui, non essendo espressamente qualificata l’operazione né come costituzione di società, né come </w:t>
      </w:r>
      <w:r w:rsidRPr="004B4E20">
        <w:rPr>
          <w:rFonts w:ascii="Garamond" w:eastAsia="Times New Roman" w:hAnsi="Garamond" w:cs="Times New Roman"/>
          <w:color w:val="000000"/>
          <w:sz w:val="30"/>
          <w:szCs w:val="30"/>
          <w:lang w:eastAsia="it-IT"/>
        </w:rPr>
        <w:lastRenderedPageBreak/>
        <w:t xml:space="preserve">acquisto di partecipazioni in società pubbliche da parte di pubbliche amministrazioni, ad essa si sarebbero dovute applicare esclusivamente la disciplina normativa sulle società contenuta nel </w:t>
      </w:r>
      <w:proofErr w:type="gramStart"/>
      <w:r w:rsidRPr="004B4E20">
        <w:rPr>
          <w:rFonts w:ascii="Garamond" w:eastAsia="Times New Roman" w:hAnsi="Garamond" w:cs="Times New Roman"/>
          <w:color w:val="000000"/>
          <w:sz w:val="30"/>
          <w:szCs w:val="30"/>
          <w:lang w:eastAsia="it-IT"/>
        </w:rPr>
        <w:t>codice civile</w:t>
      </w:r>
      <w:proofErr w:type="gramEnd"/>
      <w:r w:rsidRPr="004B4E20">
        <w:rPr>
          <w:rFonts w:ascii="Garamond" w:eastAsia="Times New Roman" w:hAnsi="Garamond" w:cs="Times New Roman"/>
          <w:color w:val="000000"/>
          <w:sz w:val="30"/>
          <w:szCs w:val="30"/>
          <w:lang w:eastAsia="it-IT"/>
        </w:rPr>
        <w:t xml:space="preserve"> e le norme generali di diritto privato.</w:t>
      </w:r>
    </w:p>
    <w:p w14:paraId="0B9D786C"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In concreto, la sentenza appellata – sulla premessa che, in virtù della contestata operazione, la partecipazione azionaria del Comune di Seregno al capitale di A.E.B. s.p.a. sarebbe passata dal 54,859% al 36,472%, quale frutto del trasferimento del ramo di azienda di una società del Gruppo A2A alla stessa A.E.B. s.p.a., compensata con il corrispettivo di una partecipazione al capitale sociale – ha ritenuto che, pur in assenza di una vera e propria “</w:t>
      </w:r>
      <w:r w:rsidRPr="004B4E20">
        <w:rPr>
          <w:rFonts w:ascii="Garamond" w:eastAsia="Times New Roman" w:hAnsi="Garamond" w:cs="Times New Roman"/>
          <w:i/>
          <w:iCs/>
          <w:color w:val="000000"/>
          <w:sz w:val="30"/>
          <w:szCs w:val="30"/>
          <w:lang w:eastAsia="it-IT"/>
        </w:rPr>
        <w:t>cessione di partecipazioni a fronte di una somma di denaro</w:t>
      </w:r>
      <w:r w:rsidRPr="004B4E20">
        <w:rPr>
          <w:rFonts w:ascii="Garamond" w:eastAsia="Times New Roman" w:hAnsi="Garamond" w:cs="Times New Roman"/>
          <w:color w:val="000000"/>
          <w:sz w:val="30"/>
          <w:szCs w:val="30"/>
          <w:lang w:eastAsia="it-IT"/>
        </w:rPr>
        <w:t>”, era stato comunque programmato “</w:t>
      </w:r>
      <w:r w:rsidRPr="004B4E20">
        <w:rPr>
          <w:rFonts w:ascii="Garamond" w:eastAsia="Times New Roman" w:hAnsi="Garamond" w:cs="Times New Roman"/>
          <w:i/>
          <w:iCs/>
          <w:color w:val="000000"/>
          <w:sz w:val="30"/>
          <w:szCs w:val="30"/>
          <w:lang w:eastAsia="it-IT"/>
        </w:rPr>
        <w:t>il corrispettivo per il bene conferito in natura</w:t>
      </w:r>
      <w:r w:rsidRPr="004B4E20">
        <w:rPr>
          <w:rFonts w:ascii="Garamond" w:eastAsia="Times New Roman" w:hAnsi="Garamond" w:cs="Times New Roman"/>
          <w:color w:val="000000"/>
          <w:sz w:val="30"/>
          <w:szCs w:val="30"/>
          <w:lang w:eastAsia="it-IT"/>
        </w:rPr>
        <w:t>”, il quale avrebbe determinato, con l’aumento del capitale sociale, la sua suddivisione in diverse categorie di azioni e la rideterminazione del valore delle stesse in base ad un valore di cambio.</w:t>
      </w:r>
    </w:p>
    <w:p w14:paraId="332170BF"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Ne ha tratto, perciò, il corollario che – essendo </w:t>
      </w:r>
      <w:r w:rsidRPr="004B4E20">
        <w:rPr>
          <w:rFonts w:ascii="Garamond" w:eastAsia="Times New Roman" w:hAnsi="Garamond" w:cs="Times New Roman"/>
          <w:i/>
          <w:iCs/>
          <w:color w:val="000000"/>
          <w:sz w:val="30"/>
          <w:szCs w:val="30"/>
          <w:lang w:eastAsia="it-IT"/>
        </w:rPr>
        <w:t>ratio </w:t>
      </w:r>
      <w:r w:rsidRPr="004B4E20">
        <w:rPr>
          <w:rFonts w:ascii="Garamond" w:eastAsia="Times New Roman" w:hAnsi="Garamond" w:cs="Times New Roman"/>
          <w:color w:val="000000"/>
          <w:sz w:val="30"/>
          <w:szCs w:val="30"/>
          <w:lang w:eastAsia="it-IT"/>
        </w:rPr>
        <w:t>dell’assoggettamento alla regola evidenziale quella di ritrarre dalla competizione la massima valorizzazione economica delle azioni cedute – la stessa ricorresse anche nell’ipotesi, ricorrente nella specie, di “</w:t>
      </w:r>
      <w:r w:rsidRPr="004B4E20">
        <w:rPr>
          <w:rFonts w:ascii="Garamond" w:eastAsia="Times New Roman" w:hAnsi="Garamond" w:cs="Times New Roman"/>
          <w:i/>
          <w:iCs/>
          <w:color w:val="000000"/>
          <w:sz w:val="30"/>
          <w:szCs w:val="30"/>
          <w:lang w:eastAsia="it-IT"/>
        </w:rPr>
        <w:t>attribuzione della partecipazione societaria mediante conferimenti</w:t>
      </w:r>
      <w:r w:rsidRPr="004B4E20">
        <w:rPr>
          <w:rFonts w:ascii="Garamond" w:eastAsia="Times New Roman" w:hAnsi="Garamond" w:cs="Times New Roman"/>
          <w:color w:val="000000"/>
          <w:sz w:val="30"/>
          <w:szCs w:val="30"/>
          <w:lang w:eastAsia="it-IT"/>
        </w:rPr>
        <w:t xml:space="preserve">”. Ciò in quanto, in concreto, l’attribuzione della partecipazione societaria, a fronte del conferimento del ramo di azienda, avrebbe di fatto consentito l’ingresso in A.E.B. s.p.a. (società operante in regime </w:t>
      </w:r>
      <w:proofErr w:type="gramStart"/>
      <w:r w:rsidRPr="004B4E20">
        <w:rPr>
          <w:rFonts w:ascii="Garamond" w:eastAsia="Times New Roman" w:hAnsi="Garamond" w:cs="Times New Roman"/>
          <w:color w:val="000000"/>
          <w:sz w:val="30"/>
          <w:szCs w:val="30"/>
          <w:lang w:eastAsia="it-IT"/>
        </w:rPr>
        <w:t>di </w:t>
      </w:r>
      <w:r w:rsidRPr="004B4E20">
        <w:rPr>
          <w:rFonts w:ascii="Garamond" w:eastAsia="Times New Roman" w:hAnsi="Garamond" w:cs="Times New Roman"/>
          <w:i/>
          <w:iCs/>
          <w:color w:val="000000"/>
          <w:sz w:val="30"/>
          <w:szCs w:val="30"/>
          <w:lang w:eastAsia="it-IT"/>
        </w:rPr>
        <w:t>in</w:t>
      </w:r>
      <w:proofErr w:type="gramEnd"/>
      <w:r w:rsidRPr="004B4E20">
        <w:rPr>
          <w:rFonts w:ascii="Garamond" w:eastAsia="Times New Roman" w:hAnsi="Garamond" w:cs="Times New Roman"/>
          <w:i/>
          <w:iCs/>
          <w:color w:val="000000"/>
          <w:sz w:val="30"/>
          <w:szCs w:val="30"/>
          <w:lang w:eastAsia="it-IT"/>
        </w:rPr>
        <w:t xml:space="preserve"> house) </w:t>
      </w:r>
      <w:r w:rsidRPr="004B4E20">
        <w:rPr>
          <w:rFonts w:ascii="Garamond" w:eastAsia="Times New Roman" w:hAnsi="Garamond" w:cs="Times New Roman"/>
          <w:color w:val="000000"/>
          <w:sz w:val="30"/>
          <w:szCs w:val="30"/>
          <w:lang w:eastAsia="it-IT"/>
        </w:rPr>
        <w:t>di un socio industriale di natura mista e, dunque, di privati investitori, con conseguente mutamento soggettivo delle partecipazioni e dei poteri di gestione ad esse correlati.</w:t>
      </w:r>
    </w:p>
    <w:p w14:paraId="24EF1AFE"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 xml:space="preserve">In definitiva, proprio la programmata modificazione delle partecipazioni all’interno di A.E.B. s.p.a., secondo il modello della società mista, avrebbe strutturato un modello di partenariato pubblico-privato istituzionalizzato, mediante il quale sarebbe stato possibile affidare o, nel caso di specie, mantenere l’affidamento di </w:t>
      </w:r>
      <w:r w:rsidRPr="004B4E20">
        <w:rPr>
          <w:rFonts w:ascii="Garamond" w:eastAsia="Times New Roman" w:hAnsi="Garamond" w:cs="Times New Roman"/>
          <w:color w:val="000000"/>
          <w:sz w:val="30"/>
          <w:szCs w:val="30"/>
          <w:lang w:eastAsia="it-IT"/>
        </w:rPr>
        <w:lastRenderedPageBreak/>
        <w:t>servizi di interesse economico generale in via diretta: sicché, nel rispetto dei principi di concorrenza e di </w:t>
      </w:r>
      <w:r w:rsidRPr="004B4E20">
        <w:rPr>
          <w:rFonts w:ascii="Garamond" w:eastAsia="Times New Roman" w:hAnsi="Garamond" w:cs="Times New Roman"/>
          <w:i/>
          <w:iCs/>
          <w:color w:val="000000"/>
          <w:sz w:val="30"/>
          <w:szCs w:val="30"/>
          <w:lang w:eastAsia="it-IT"/>
        </w:rPr>
        <w:t>par condicio</w:t>
      </w:r>
      <w:r w:rsidRPr="004B4E20">
        <w:rPr>
          <w:rFonts w:ascii="Garamond" w:eastAsia="Times New Roman" w:hAnsi="Garamond" w:cs="Times New Roman"/>
          <w:color w:val="000000"/>
          <w:sz w:val="30"/>
          <w:szCs w:val="30"/>
          <w:lang w:eastAsia="it-IT"/>
        </w:rPr>
        <w:t>, la scelta del </w:t>
      </w:r>
      <w:r w:rsidRPr="004B4E20">
        <w:rPr>
          <w:rFonts w:ascii="Garamond" w:eastAsia="Times New Roman" w:hAnsi="Garamond" w:cs="Times New Roman"/>
          <w:i/>
          <w:iCs/>
          <w:color w:val="000000"/>
          <w:sz w:val="30"/>
          <w:szCs w:val="30"/>
          <w:lang w:eastAsia="it-IT"/>
        </w:rPr>
        <w:t>partner </w:t>
      </w:r>
      <w:r w:rsidRPr="004B4E20">
        <w:rPr>
          <w:rFonts w:ascii="Garamond" w:eastAsia="Times New Roman" w:hAnsi="Garamond" w:cs="Times New Roman"/>
          <w:color w:val="000000"/>
          <w:sz w:val="30"/>
          <w:szCs w:val="30"/>
          <w:lang w:eastAsia="it-IT"/>
        </w:rPr>
        <w:t>industriale, in grado di esercitare un controllo di fatto sul gestore del servizio, avrebbe dovuto avvenire in forma competitiva, in applicazione della regola espressamente codificata all’art. 17 del TU n. 175 cit., senza che, in diverso senso, potessero valere sia le clausole contenute negli accordi quadro e nei patti parasociali allegati alla deliberazione impugnata (che la normativa in questione non indica, in effetti, quali possibile ragioni di deroga alla regola dell’evidenza pubblica), sia l’assunto della pretesa infungibilità dell’operazione (che, proprio in quanto eccezione alla regola dell’evidenza pubblica, avrebbe dovuto, a tutto concedere, essere valutata con particolare rigore ed all’esito di una puntuale indagine di mercato, idonea a dimostrare che l’unica possibilità di sviluppo e di incremento di competitività per la A.E.B. s.p.a. fosse l’integrazione industriale con la A2A s.p.a., in ragione delle peculiari caratteristiche di questa, non replicabili sul mercato di riferimento).</w:t>
      </w:r>
    </w:p>
    <w:p w14:paraId="03EB4051"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6.4.- La conclusione va condivisa.</w:t>
      </w:r>
    </w:p>
    <w:p w14:paraId="730F262F"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Essa discende, infatti, coerentemente dalle esposte premesse, le quali, in definitiva, militano nel senso che, riguardate dal punto di vista degli obblighi strumentali di evidenza pubblica, le operazioni straordinarie che, a vario titolo e in varia forma, coinvolgano società pubbliche, sono di per sé </w:t>
      </w:r>
      <w:r w:rsidRPr="004B4E20">
        <w:rPr>
          <w:rFonts w:ascii="Garamond" w:eastAsia="Times New Roman" w:hAnsi="Garamond" w:cs="Times New Roman"/>
          <w:i/>
          <w:iCs/>
          <w:color w:val="000000"/>
          <w:sz w:val="30"/>
          <w:szCs w:val="30"/>
          <w:lang w:eastAsia="it-IT"/>
        </w:rPr>
        <w:t>neutre</w:t>
      </w:r>
      <w:r w:rsidRPr="004B4E20">
        <w:rPr>
          <w:rFonts w:ascii="Garamond" w:eastAsia="Times New Roman" w:hAnsi="Garamond" w:cs="Times New Roman"/>
          <w:color w:val="000000"/>
          <w:sz w:val="30"/>
          <w:szCs w:val="30"/>
          <w:lang w:eastAsia="it-IT"/>
        </w:rPr>
        <w:t xml:space="preserve">: di tal che – sull’assunto che il principio </w:t>
      </w:r>
      <w:proofErr w:type="spellStart"/>
      <w:r w:rsidRPr="004B4E20">
        <w:rPr>
          <w:rFonts w:ascii="Garamond" w:eastAsia="Times New Roman" w:hAnsi="Garamond" w:cs="Times New Roman"/>
          <w:color w:val="000000"/>
          <w:sz w:val="30"/>
          <w:szCs w:val="30"/>
          <w:lang w:eastAsia="it-IT"/>
        </w:rPr>
        <w:t>proconcorrenziale</w:t>
      </w:r>
      <w:proofErr w:type="spellEnd"/>
      <w:r w:rsidRPr="004B4E20">
        <w:rPr>
          <w:rFonts w:ascii="Garamond" w:eastAsia="Times New Roman" w:hAnsi="Garamond" w:cs="Times New Roman"/>
          <w:color w:val="000000"/>
          <w:sz w:val="30"/>
          <w:szCs w:val="30"/>
          <w:lang w:eastAsia="it-IT"/>
        </w:rPr>
        <w:t xml:space="preserve"> opera, di suo, nella </w:t>
      </w:r>
      <w:r w:rsidRPr="004B4E20">
        <w:rPr>
          <w:rFonts w:ascii="Garamond" w:eastAsia="Times New Roman" w:hAnsi="Garamond" w:cs="Times New Roman"/>
          <w:i/>
          <w:iCs/>
          <w:color w:val="000000"/>
          <w:sz w:val="30"/>
          <w:szCs w:val="30"/>
          <w:lang w:eastAsia="it-IT"/>
        </w:rPr>
        <w:t>prospettiva funzionale dell’effetto utile</w:t>
      </w:r>
      <w:r w:rsidRPr="004B4E20">
        <w:rPr>
          <w:rFonts w:ascii="Garamond" w:eastAsia="Times New Roman" w:hAnsi="Garamond" w:cs="Times New Roman"/>
          <w:color w:val="000000"/>
          <w:sz w:val="30"/>
          <w:szCs w:val="30"/>
          <w:lang w:eastAsia="it-IT"/>
        </w:rPr>
        <w:t> e che il correlativo apparato precettivo va considerato di </w:t>
      </w:r>
      <w:r w:rsidRPr="004B4E20">
        <w:rPr>
          <w:rFonts w:ascii="Garamond" w:eastAsia="Times New Roman" w:hAnsi="Garamond" w:cs="Times New Roman"/>
          <w:i/>
          <w:iCs/>
          <w:color w:val="000000"/>
          <w:sz w:val="30"/>
          <w:szCs w:val="30"/>
          <w:lang w:eastAsia="it-IT"/>
        </w:rPr>
        <w:t>natura materiale e non formale</w:t>
      </w:r>
      <w:r w:rsidRPr="004B4E20">
        <w:rPr>
          <w:rFonts w:ascii="Garamond" w:eastAsia="Times New Roman" w:hAnsi="Garamond" w:cs="Times New Roman"/>
          <w:color w:val="000000"/>
          <w:sz w:val="30"/>
          <w:szCs w:val="30"/>
          <w:lang w:eastAsia="it-IT"/>
        </w:rPr>
        <w:t> – l’assoggettamento al regime interamente privatistico (ex art. 1, comma 3 TU) o l’intersezione segmentale con la disciplina pubblicistica evidenziale dipende, </w:t>
      </w:r>
      <w:r w:rsidRPr="004B4E20">
        <w:rPr>
          <w:rFonts w:ascii="Garamond" w:eastAsia="Times New Roman" w:hAnsi="Garamond" w:cs="Times New Roman"/>
          <w:i/>
          <w:iCs/>
          <w:color w:val="000000"/>
          <w:sz w:val="30"/>
          <w:szCs w:val="30"/>
          <w:lang w:eastAsia="it-IT"/>
        </w:rPr>
        <w:t>in concreto</w:t>
      </w:r>
      <w:r w:rsidRPr="004B4E20">
        <w:rPr>
          <w:rFonts w:ascii="Garamond" w:eastAsia="Times New Roman" w:hAnsi="Garamond" w:cs="Times New Roman"/>
          <w:color w:val="000000"/>
          <w:sz w:val="30"/>
          <w:szCs w:val="30"/>
          <w:lang w:eastAsia="it-IT"/>
        </w:rPr>
        <w:t>, dall’accertamento degli </w:t>
      </w:r>
      <w:r w:rsidRPr="004B4E20">
        <w:rPr>
          <w:rFonts w:ascii="Garamond" w:eastAsia="Times New Roman" w:hAnsi="Garamond" w:cs="Times New Roman"/>
          <w:i/>
          <w:iCs/>
          <w:color w:val="000000"/>
          <w:sz w:val="30"/>
          <w:szCs w:val="30"/>
          <w:lang w:eastAsia="it-IT"/>
        </w:rPr>
        <w:t>effetti sostanziali</w:t>
      </w:r>
      <w:r w:rsidRPr="004B4E20">
        <w:rPr>
          <w:rFonts w:ascii="Garamond" w:eastAsia="Times New Roman" w:hAnsi="Garamond" w:cs="Times New Roman"/>
          <w:color w:val="000000"/>
          <w:sz w:val="30"/>
          <w:szCs w:val="30"/>
          <w:lang w:eastAsia="it-IT"/>
        </w:rPr>
        <w:t> perseguiti e divisati.</w:t>
      </w:r>
    </w:p>
    <w:p w14:paraId="2738D336"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Effetti che, nella specie, realizzando una diluizione della partecipazione pubblica totalitaria in favore di una </w:t>
      </w:r>
      <w:r w:rsidRPr="004B4E20">
        <w:rPr>
          <w:rFonts w:ascii="Garamond" w:eastAsia="Times New Roman" w:hAnsi="Garamond" w:cs="Times New Roman"/>
          <w:i/>
          <w:iCs/>
          <w:color w:val="000000"/>
          <w:sz w:val="30"/>
          <w:szCs w:val="30"/>
          <w:lang w:eastAsia="it-IT"/>
        </w:rPr>
        <w:t>partnership </w:t>
      </w:r>
      <w:r w:rsidRPr="004B4E20">
        <w:rPr>
          <w:rFonts w:ascii="Garamond" w:eastAsia="Times New Roman" w:hAnsi="Garamond" w:cs="Times New Roman"/>
          <w:color w:val="000000"/>
          <w:sz w:val="30"/>
          <w:szCs w:val="30"/>
          <w:lang w:eastAsia="it-IT"/>
        </w:rPr>
        <w:t xml:space="preserve">istituzionale con un soggetto privato, sono, in </w:t>
      </w:r>
      <w:r w:rsidRPr="004B4E20">
        <w:rPr>
          <w:rFonts w:ascii="Garamond" w:eastAsia="Times New Roman" w:hAnsi="Garamond" w:cs="Times New Roman"/>
          <w:color w:val="000000"/>
          <w:sz w:val="30"/>
          <w:szCs w:val="30"/>
          <w:lang w:eastAsia="it-IT"/>
        </w:rPr>
        <w:lastRenderedPageBreak/>
        <w:t>definitiva, tali da sollecitare l’obbligo di attivare una strumentale procedura selettiva tra i potenziali operatori economici dei settori interessati.</w:t>
      </w:r>
    </w:p>
    <w:p w14:paraId="4A0B7517"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7.- Le considerazioni che precedono, che assorbono ogni altro rilievo, confermano la complessiva infondatezza degli appelli.</w:t>
      </w:r>
    </w:p>
    <w:p w14:paraId="3497CF38"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La particolare complessità, e la relativa novità delle questioni esaminate, giustifica l’integrale compensazione, tra le parti costituite, delle spese e delle competenze di lite.</w:t>
      </w:r>
    </w:p>
    <w:p w14:paraId="3EF56558" w14:textId="77777777" w:rsidR="004B4E20" w:rsidRPr="004B4E20" w:rsidRDefault="004B4E20" w:rsidP="004B4E20">
      <w:pPr>
        <w:spacing w:after="0" w:line="540" w:lineRule="atLeast"/>
        <w:jc w:val="center"/>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P.Q.M.</w:t>
      </w:r>
    </w:p>
    <w:p w14:paraId="673DBE2D"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Il Consiglio di Stato in sede giurisdizionale (Sezione Quinta), definitivamente pronunciando sugli appelli riuniti, come in epigrafe proposto, li respinge.</w:t>
      </w:r>
    </w:p>
    <w:p w14:paraId="46B5C30D"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Spese compensate.</w:t>
      </w:r>
    </w:p>
    <w:p w14:paraId="4608A97B"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Ordina che la presente sentenza sia eseguita dall'autorità amministrativa.</w:t>
      </w:r>
    </w:p>
    <w:p w14:paraId="555AB2C4" w14:textId="77777777" w:rsidR="004B4E20" w:rsidRPr="004B4E20" w:rsidRDefault="004B4E20" w:rsidP="004B4E20">
      <w:pPr>
        <w:spacing w:after="0" w:line="520" w:lineRule="atLeast"/>
        <w:jc w:val="both"/>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Così deciso nella camera di consiglio del giorno 1° luglio 2021, tenuta da remoto secondo quanto stabilito dall’art. 25 del d.l. 28 ottobre 20020, convertito con modificazioni dalla l. 18 dicembre 2020, n. 176, modificato dall’art. 1, comma 17, del d.l. 31 dicembre 2020, n. 183, convertito con modificazioni dalla l. 26 febbraio 2021, n. 21, con l'intervento dei magistrati:</w:t>
      </w:r>
    </w:p>
    <w:p w14:paraId="1388F64D" w14:textId="77777777" w:rsidR="004B4E20" w:rsidRPr="004B4E20" w:rsidRDefault="004B4E20" w:rsidP="004B4E20">
      <w:pPr>
        <w:spacing w:after="0" w:line="520" w:lineRule="atLeast"/>
        <w:ind w:firstLine="567"/>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Carlo Saltelli, Presidente</w:t>
      </w:r>
    </w:p>
    <w:p w14:paraId="085DAD6F" w14:textId="77777777" w:rsidR="004B4E20" w:rsidRPr="004B4E20" w:rsidRDefault="004B4E20" w:rsidP="004B4E20">
      <w:pPr>
        <w:spacing w:after="0" w:line="520" w:lineRule="atLeast"/>
        <w:ind w:firstLine="567"/>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Valerio Perotti, Consigliere</w:t>
      </w:r>
    </w:p>
    <w:p w14:paraId="0CD33D6A" w14:textId="77777777" w:rsidR="004B4E20" w:rsidRPr="004B4E20" w:rsidRDefault="004B4E20" w:rsidP="004B4E20">
      <w:pPr>
        <w:spacing w:after="0" w:line="520" w:lineRule="atLeast"/>
        <w:ind w:firstLine="567"/>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Angela Rotondano, Consigliere</w:t>
      </w:r>
    </w:p>
    <w:p w14:paraId="1EE7C6EE" w14:textId="77777777" w:rsidR="004B4E20" w:rsidRPr="004B4E20" w:rsidRDefault="004B4E20" w:rsidP="004B4E20">
      <w:pPr>
        <w:spacing w:after="0" w:line="520" w:lineRule="atLeast"/>
        <w:ind w:firstLine="567"/>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Giulia Ferrari, Consigliere</w:t>
      </w:r>
    </w:p>
    <w:p w14:paraId="3CC74D83" w14:textId="77777777" w:rsidR="004B4E20" w:rsidRPr="004B4E20" w:rsidRDefault="004B4E20" w:rsidP="004B4E20">
      <w:pPr>
        <w:spacing w:after="0" w:line="520" w:lineRule="atLeast"/>
        <w:ind w:firstLine="567"/>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Giovanni Grasso, Consigliere, Estensore</w:t>
      </w:r>
    </w:p>
    <w:tbl>
      <w:tblPr>
        <w:tblW w:w="5000" w:type="pct"/>
        <w:tblCellMar>
          <w:top w:w="15" w:type="dxa"/>
          <w:left w:w="15" w:type="dxa"/>
          <w:bottom w:w="15" w:type="dxa"/>
          <w:right w:w="15" w:type="dxa"/>
        </w:tblCellMar>
        <w:tblLook w:val="04A0" w:firstRow="1" w:lastRow="0" w:firstColumn="1" w:lastColumn="0" w:noHBand="0" w:noVBand="1"/>
      </w:tblPr>
      <w:tblGrid>
        <w:gridCol w:w="4619"/>
        <w:gridCol w:w="81"/>
        <w:gridCol w:w="4938"/>
      </w:tblGrid>
      <w:tr w:rsidR="004B4E20" w:rsidRPr="004B4E20" w14:paraId="6FC88862" w14:textId="77777777" w:rsidTr="004B4E20">
        <w:tc>
          <w:tcPr>
            <w:tcW w:w="0" w:type="auto"/>
            <w:vAlign w:val="center"/>
            <w:hideMark/>
          </w:tcPr>
          <w:p w14:paraId="44F56525"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 </w:t>
            </w:r>
          </w:p>
        </w:tc>
        <w:tc>
          <w:tcPr>
            <w:tcW w:w="0" w:type="auto"/>
            <w:vAlign w:val="center"/>
            <w:hideMark/>
          </w:tcPr>
          <w:p w14:paraId="15360C05"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5577CB8B" w14:textId="77777777" w:rsidR="004B4E20" w:rsidRPr="004B4E20" w:rsidRDefault="004B4E20" w:rsidP="004B4E20">
            <w:pPr>
              <w:spacing w:after="0" w:line="240" w:lineRule="auto"/>
              <w:jc w:val="center"/>
              <w:rPr>
                <w:rFonts w:ascii="Times New Roman" w:eastAsia="Times New Roman" w:hAnsi="Times New Roman" w:cs="Times New Roman"/>
                <w:sz w:val="20"/>
                <w:szCs w:val="20"/>
                <w:lang w:eastAsia="it-IT"/>
              </w:rPr>
            </w:pPr>
          </w:p>
        </w:tc>
      </w:tr>
      <w:tr w:rsidR="004B4E20" w:rsidRPr="004B4E20" w14:paraId="33CC29E1" w14:textId="77777777" w:rsidTr="004B4E20">
        <w:tc>
          <w:tcPr>
            <w:tcW w:w="0" w:type="auto"/>
            <w:vAlign w:val="center"/>
            <w:hideMark/>
          </w:tcPr>
          <w:p w14:paraId="7B24FF39"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 </w:t>
            </w:r>
          </w:p>
        </w:tc>
        <w:tc>
          <w:tcPr>
            <w:tcW w:w="0" w:type="auto"/>
            <w:vAlign w:val="center"/>
            <w:hideMark/>
          </w:tcPr>
          <w:p w14:paraId="55603600"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704876C" w14:textId="77777777" w:rsidR="004B4E20" w:rsidRPr="004B4E20" w:rsidRDefault="004B4E20" w:rsidP="004B4E20">
            <w:pPr>
              <w:spacing w:after="0" w:line="240" w:lineRule="auto"/>
              <w:jc w:val="center"/>
              <w:rPr>
                <w:rFonts w:ascii="Times New Roman" w:eastAsia="Times New Roman" w:hAnsi="Times New Roman" w:cs="Times New Roman"/>
                <w:sz w:val="20"/>
                <w:szCs w:val="20"/>
                <w:lang w:eastAsia="it-IT"/>
              </w:rPr>
            </w:pPr>
          </w:p>
        </w:tc>
      </w:tr>
      <w:tr w:rsidR="004B4E20" w:rsidRPr="004B4E20" w14:paraId="62B92796" w14:textId="77777777" w:rsidTr="004B4E20">
        <w:tc>
          <w:tcPr>
            <w:tcW w:w="0" w:type="auto"/>
            <w:vAlign w:val="center"/>
            <w:hideMark/>
          </w:tcPr>
          <w:p w14:paraId="3A6F68F1"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L'ESTENSORE</w:t>
            </w:r>
          </w:p>
        </w:tc>
        <w:tc>
          <w:tcPr>
            <w:tcW w:w="0" w:type="auto"/>
            <w:vAlign w:val="center"/>
            <w:hideMark/>
          </w:tcPr>
          <w:p w14:paraId="5F19B4F9"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7840A2F9"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IL PRESIDENTE</w:t>
            </w:r>
          </w:p>
        </w:tc>
      </w:tr>
      <w:tr w:rsidR="004B4E20" w:rsidRPr="004B4E20" w14:paraId="322603B1" w14:textId="77777777" w:rsidTr="004B4E20">
        <w:tc>
          <w:tcPr>
            <w:tcW w:w="0" w:type="auto"/>
            <w:vAlign w:val="center"/>
            <w:hideMark/>
          </w:tcPr>
          <w:p w14:paraId="74308C84"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Giovanni Grasso</w:t>
            </w:r>
          </w:p>
        </w:tc>
        <w:tc>
          <w:tcPr>
            <w:tcW w:w="0" w:type="auto"/>
            <w:vAlign w:val="center"/>
            <w:hideMark/>
          </w:tcPr>
          <w:p w14:paraId="058B9ACB"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57BE1484"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Carlo Saltelli</w:t>
            </w:r>
          </w:p>
        </w:tc>
      </w:tr>
      <w:tr w:rsidR="004B4E20" w:rsidRPr="004B4E20" w14:paraId="4C4942BB" w14:textId="77777777" w:rsidTr="004B4E20">
        <w:tc>
          <w:tcPr>
            <w:tcW w:w="0" w:type="auto"/>
            <w:vAlign w:val="center"/>
            <w:hideMark/>
          </w:tcPr>
          <w:p w14:paraId="77685AD0"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 </w:t>
            </w:r>
          </w:p>
        </w:tc>
        <w:tc>
          <w:tcPr>
            <w:tcW w:w="0" w:type="auto"/>
            <w:vAlign w:val="center"/>
            <w:hideMark/>
          </w:tcPr>
          <w:p w14:paraId="7970E2A2"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7AB35177" w14:textId="77777777" w:rsidR="004B4E20" w:rsidRPr="004B4E20" w:rsidRDefault="004B4E20" w:rsidP="004B4E20">
            <w:pPr>
              <w:spacing w:after="0" w:line="240" w:lineRule="auto"/>
              <w:jc w:val="center"/>
              <w:rPr>
                <w:rFonts w:ascii="Times New Roman" w:eastAsia="Times New Roman" w:hAnsi="Times New Roman" w:cs="Times New Roman"/>
                <w:sz w:val="20"/>
                <w:szCs w:val="20"/>
                <w:lang w:eastAsia="it-IT"/>
              </w:rPr>
            </w:pPr>
          </w:p>
        </w:tc>
      </w:tr>
      <w:tr w:rsidR="004B4E20" w:rsidRPr="004B4E20" w14:paraId="6D0DE1FF" w14:textId="77777777" w:rsidTr="004B4E20">
        <w:tc>
          <w:tcPr>
            <w:tcW w:w="0" w:type="auto"/>
            <w:vAlign w:val="center"/>
            <w:hideMark/>
          </w:tcPr>
          <w:p w14:paraId="3191ED8E"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 </w:t>
            </w:r>
          </w:p>
        </w:tc>
        <w:tc>
          <w:tcPr>
            <w:tcW w:w="0" w:type="auto"/>
            <w:vAlign w:val="center"/>
            <w:hideMark/>
          </w:tcPr>
          <w:p w14:paraId="46533076"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076EA79" w14:textId="77777777" w:rsidR="004B4E20" w:rsidRPr="004B4E20" w:rsidRDefault="004B4E20" w:rsidP="004B4E20">
            <w:pPr>
              <w:spacing w:after="0" w:line="240" w:lineRule="auto"/>
              <w:jc w:val="center"/>
              <w:rPr>
                <w:rFonts w:ascii="Times New Roman" w:eastAsia="Times New Roman" w:hAnsi="Times New Roman" w:cs="Times New Roman"/>
                <w:sz w:val="20"/>
                <w:szCs w:val="20"/>
                <w:lang w:eastAsia="it-IT"/>
              </w:rPr>
            </w:pPr>
          </w:p>
        </w:tc>
      </w:tr>
      <w:tr w:rsidR="004B4E20" w:rsidRPr="004B4E20" w14:paraId="32E79567" w14:textId="77777777" w:rsidTr="004B4E20">
        <w:tc>
          <w:tcPr>
            <w:tcW w:w="0" w:type="auto"/>
            <w:vAlign w:val="center"/>
            <w:hideMark/>
          </w:tcPr>
          <w:p w14:paraId="48A3DCC3"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 </w:t>
            </w:r>
          </w:p>
        </w:tc>
        <w:tc>
          <w:tcPr>
            <w:tcW w:w="0" w:type="auto"/>
            <w:vAlign w:val="center"/>
            <w:hideMark/>
          </w:tcPr>
          <w:p w14:paraId="51590439"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5F03E150" w14:textId="77777777" w:rsidR="004B4E20" w:rsidRPr="004B4E20" w:rsidRDefault="004B4E20" w:rsidP="004B4E20">
            <w:pPr>
              <w:spacing w:after="0" w:line="240" w:lineRule="auto"/>
              <w:jc w:val="center"/>
              <w:rPr>
                <w:rFonts w:ascii="Times New Roman" w:eastAsia="Times New Roman" w:hAnsi="Times New Roman" w:cs="Times New Roman"/>
                <w:sz w:val="20"/>
                <w:szCs w:val="20"/>
                <w:lang w:eastAsia="it-IT"/>
              </w:rPr>
            </w:pPr>
          </w:p>
        </w:tc>
      </w:tr>
      <w:tr w:rsidR="004B4E20" w:rsidRPr="004B4E20" w14:paraId="78D9B289" w14:textId="77777777" w:rsidTr="004B4E20">
        <w:tc>
          <w:tcPr>
            <w:tcW w:w="0" w:type="auto"/>
            <w:vAlign w:val="center"/>
            <w:hideMark/>
          </w:tcPr>
          <w:p w14:paraId="795B5400"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t> </w:t>
            </w:r>
          </w:p>
        </w:tc>
        <w:tc>
          <w:tcPr>
            <w:tcW w:w="0" w:type="auto"/>
            <w:vAlign w:val="center"/>
            <w:hideMark/>
          </w:tcPr>
          <w:p w14:paraId="3FB27E0F"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3D9ADB3E" w14:textId="77777777" w:rsidR="004B4E20" w:rsidRPr="004B4E20" w:rsidRDefault="004B4E20" w:rsidP="004B4E20">
            <w:pPr>
              <w:spacing w:after="0" w:line="240" w:lineRule="auto"/>
              <w:jc w:val="center"/>
              <w:rPr>
                <w:rFonts w:ascii="Times New Roman" w:eastAsia="Times New Roman" w:hAnsi="Times New Roman" w:cs="Times New Roman"/>
                <w:sz w:val="20"/>
                <w:szCs w:val="20"/>
                <w:lang w:eastAsia="it-IT"/>
              </w:rPr>
            </w:pPr>
          </w:p>
        </w:tc>
      </w:tr>
      <w:tr w:rsidR="004B4E20" w:rsidRPr="004B4E20" w14:paraId="58B75174" w14:textId="77777777" w:rsidTr="004B4E20">
        <w:tc>
          <w:tcPr>
            <w:tcW w:w="0" w:type="auto"/>
            <w:vAlign w:val="center"/>
            <w:hideMark/>
          </w:tcPr>
          <w:p w14:paraId="52A329E1"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r w:rsidRPr="004B4E20">
              <w:rPr>
                <w:rFonts w:ascii="Times New Roman" w:eastAsia="Times New Roman" w:hAnsi="Times New Roman" w:cs="Times New Roman"/>
                <w:b/>
                <w:bCs/>
                <w:sz w:val="28"/>
                <w:szCs w:val="28"/>
                <w:lang w:eastAsia="it-IT"/>
              </w:rPr>
              <w:lastRenderedPageBreak/>
              <w:t> </w:t>
            </w:r>
          </w:p>
        </w:tc>
        <w:tc>
          <w:tcPr>
            <w:tcW w:w="0" w:type="auto"/>
            <w:vAlign w:val="center"/>
            <w:hideMark/>
          </w:tcPr>
          <w:p w14:paraId="588A7D2B" w14:textId="77777777" w:rsidR="004B4E20" w:rsidRPr="004B4E20" w:rsidRDefault="004B4E20" w:rsidP="004B4E20">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53F0D20E" w14:textId="77777777" w:rsidR="004B4E20" w:rsidRPr="004B4E20" w:rsidRDefault="004B4E20" w:rsidP="004B4E20">
            <w:pPr>
              <w:spacing w:after="0" w:line="240" w:lineRule="auto"/>
              <w:jc w:val="center"/>
              <w:rPr>
                <w:rFonts w:ascii="Times New Roman" w:eastAsia="Times New Roman" w:hAnsi="Times New Roman" w:cs="Times New Roman"/>
                <w:sz w:val="20"/>
                <w:szCs w:val="20"/>
                <w:lang w:eastAsia="it-IT"/>
              </w:rPr>
            </w:pPr>
          </w:p>
        </w:tc>
      </w:tr>
    </w:tbl>
    <w:p w14:paraId="0BBCBE56" w14:textId="77777777" w:rsidR="004B4E20" w:rsidRPr="004B4E20" w:rsidRDefault="004B4E20" w:rsidP="004B4E20">
      <w:pPr>
        <w:spacing w:after="0" w:line="540" w:lineRule="atLeast"/>
        <w:jc w:val="center"/>
        <w:rPr>
          <w:rFonts w:ascii="Garamond" w:eastAsia="Times New Roman" w:hAnsi="Garamond" w:cs="Times New Roman"/>
          <w:color w:val="000000"/>
          <w:sz w:val="30"/>
          <w:szCs w:val="30"/>
          <w:lang w:eastAsia="it-IT"/>
        </w:rPr>
      </w:pPr>
      <w:r w:rsidRPr="004B4E20">
        <w:rPr>
          <w:rFonts w:ascii="Garamond" w:eastAsia="Times New Roman" w:hAnsi="Garamond" w:cs="Times New Roman"/>
          <w:color w:val="000000"/>
          <w:sz w:val="30"/>
          <w:szCs w:val="30"/>
          <w:lang w:eastAsia="it-IT"/>
        </w:rPr>
        <w:t>IL SEGRETARIO</w:t>
      </w:r>
    </w:p>
    <w:p w14:paraId="7083A3CC" w14:textId="77777777" w:rsidR="0016628C" w:rsidRDefault="0016628C"/>
    <w:sectPr w:rsidR="0016628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imes Nordic">
    <w:altName w:val="Times New Roman"/>
    <w:panose1 w:val="00000000000000000000"/>
    <w:charset w:val="00"/>
    <w:family w:val="roman"/>
    <w:notTrueType/>
    <w:pitch w:val="default"/>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E20"/>
    <w:rsid w:val="0016628C"/>
    <w:rsid w:val="004B4E20"/>
    <w:rsid w:val="00F817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7AD66"/>
  <w15:chartTrackingRefBased/>
  <w15:docId w15:val="{6811C297-5A51-44E4-B4D5-8E0664A27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4B4E2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4B4E2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ome">
    <w:name w:val="innome"/>
    <w:basedOn w:val="Normale"/>
    <w:rsid w:val="004B4E2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4B4E2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4B4E2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4B4E2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4B4E2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4B4E20"/>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41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29</Pages>
  <Words>8298</Words>
  <Characters>47305</Characters>
  <Application>Microsoft Office Word</Application>
  <DocSecurity>0</DocSecurity>
  <Lines>394</Lines>
  <Paragraphs>110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Donato Centrone</dc:creator>
  <cp:keywords/>
  <dc:description/>
  <cp:lastModifiedBy>Donato Centrone</cp:lastModifiedBy>
  <cp:revision>1</cp:revision>
  <cp:lastPrinted>2023-09-13T15:35:00Z</cp:lastPrinted>
  <dcterms:created xsi:type="dcterms:W3CDTF">2023-09-13T15:35:00Z</dcterms:created>
  <dcterms:modified xsi:type="dcterms:W3CDTF">2023-09-14T16:13:00Z</dcterms:modified>
</cp:coreProperties>
</file>