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1947A" w14:textId="77777777" w:rsidR="006F4727" w:rsidRPr="002E138B" w:rsidRDefault="006F4727" w:rsidP="00D4211E">
      <w:pPr>
        <w:spacing w:before="810" w:after="390" w:line="240" w:lineRule="auto"/>
        <w:jc w:val="both"/>
        <w:rPr>
          <w:rFonts w:ascii="Times New Roman" w:eastAsia="Times New Roman" w:hAnsi="Times New Roman" w:cs="Times New Roman"/>
          <w:b/>
          <w:bCs/>
          <w:sz w:val="42"/>
          <w:szCs w:val="42"/>
          <w:lang w:eastAsia="it-IT"/>
        </w:rPr>
      </w:pPr>
      <w:r w:rsidRPr="002E138B">
        <w:rPr>
          <w:rFonts w:ascii="Times New Roman" w:eastAsia="Times New Roman" w:hAnsi="Times New Roman" w:cs="Times New Roman"/>
          <w:b/>
          <w:bCs/>
          <w:sz w:val="42"/>
          <w:szCs w:val="42"/>
          <w:lang w:eastAsia="it-IT"/>
        </w:rPr>
        <w:t>Nozione di aiuto di Stato</w:t>
      </w:r>
    </w:p>
    <w:p w14:paraId="0DADC94F" w14:textId="77777777" w:rsidR="00E442E3" w:rsidRPr="00E442E3" w:rsidRDefault="00E442E3" w:rsidP="00E442E3">
      <w:pPr>
        <w:spacing w:before="390" w:after="195" w:line="240" w:lineRule="auto"/>
        <w:jc w:val="both"/>
        <w:rPr>
          <w:rFonts w:ascii="Times New Roman" w:eastAsia="Times New Roman" w:hAnsi="Times New Roman" w:cs="Times New Roman"/>
          <w:b/>
          <w:bCs/>
          <w:sz w:val="27"/>
          <w:szCs w:val="27"/>
          <w:lang w:eastAsia="it-IT"/>
        </w:rPr>
      </w:pPr>
      <w:r w:rsidRPr="00E442E3">
        <w:rPr>
          <w:rFonts w:ascii="Times New Roman" w:eastAsia="Times New Roman" w:hAnsi="Times New Roman" w:cs="Times New Roman"/>
          <w:b/>
          <w:bCs/>
          <w:sz w:val="27"/>
          <w:szCs w:val="27"/>
          <w:lang w:eastAsia="it-IT"/>
        </w:rPr>
        <w:t>DOCUMENTO PRINCIPALE</w:t>
      </w:r>
    </w:p>
    <w:p w14:paraId="5F10970A" w14:textId="6807C83C" w:rsidR="00E442E3" w:rsidRPr="003A43DD" w:rsidRDefault="00E442E3" w:rsidP="00E442E3">
      <w:pPr>
        <w:spacing w:before="195" w:after="0" w:line="240" w:lineRule="auto"/>
        <w:jc w:val="both"/>
        <w:rPr>
          <w:rFonts w:ascii="Times New Roman" w:eastAsia="Times New Roman" w:hAnsi="Times New Roman" w:cs="Times New Roman"/>
          <w:sz w:val="27"/>
          <w:szCs w:val="27"/>
          <w:u w:val="single"/>
          <w:lang w:eastAsia="it-IT"/>
        </w:rPr>
      </w:pPr>
      <w:hyperlink r:id="rId5" w:history="1">
        <w:r w:rsidRPr="003A43DD">
          <w:rPr>
            <w:rFonts w:ascii="Times New Roman" w:eastAsia="Times New Roman" w:hAnsi="Times New Roman" w:cs="Times New Roman"/>
            <w:sz w:val="27"/>
            <w:szCs w:val="27"/>
            <w:u w:val="single"/>
            <w:lang w:eastAsia="it-IT"/>
          </w:rPr>
          <w:t>Comunicazione della Commissione</w:t>
        </w:r>
      </w:hyperlink>
      <w:r w:rsidRPr="003A43DD">
        <w:rPr>
          <w:rFonts w:ascii="Times New Roman" w:eastAsia="Times New Roman" w:hAnsi="Times New Roman" w:cs="Times New Roman"/>
          <w:sz w:val="27"/>
          <w:szCs w:val="27"/>
          <w:u w:val="single"/>
          <w:lang w:eastAsia="it-IT"/>
        </w:rPr>
        <w:t> sulla nozione di aiuto di Stato di cui all’articolo 107, paragrafo 1, del trattato sul funzionamento dell’Unione europea (GU L 262 del 19.7.2016).</w:t>
      </w:r>
    </w:p>
    <w:p w14:paraId="14654FA9" w14:textId="77777777" w:rsidR="00E442E3" w:rsidRDefault="00E442E3" w:rsidP="00D4211E">
      <w:pPr>
        <w:spacing w:before="195" w:after="0" w:line="240" w:lineRule="auto"/>
        <w:jc w:val="both"/>
        <w:rPr>
          <w:rFonts w:ascii="Times New Roman" w:eastAsia="Times New Roman" w:hAnsi="Times New Roman" w:cs="Times New Roman"/>
          <w:sz w:val="27"/>
          <w:szCs w:val="27"/>
          <w:lang w:eastAsia="it-IT"/>
        </w:rPr>
      </w:pPr>
    </w:p>
    <w:p w14:paraId="69A97835" w14:textId="7080B324" w:rsidR="006F4727" w:rsidRPr="00D4211E" w:rsidRDefault="006F4727" w:rsidP="00D4211E">
      <w:pPr>
        <w:spacing w:before="195" w:after="0" w:line="240" w:lineRule="auto"/>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SINTESI DI:</w:t>
      </w:r>
    </w:p>
    <w:p w14:paraId="25756891" w14:textId="77777777" w:rsidR="006F4727" w:rsidRPr="00D4211E" w:rsidRDefault="003A43DD" w:rsidP="00D4211E">
      <w:pPr>
        <w:spacing w:before="195" w:after="0" w:line="240" w:lineRule="auto"/>
        <w:jc w:val="both"/>
        <w:rPr>
          <w:rFonts w:ascii="Times New Roman" w:eastAsia="Times New Roman" w:hAnsi="Times New Roman" w:cs="Times New Roman"/>
          <w:sz w:val="27"/>
          <w:szCs w:val="27"/>
          <w:lang w:eastAsia="it-IT"/>
        </w:rPr>
      </w:pPr>
      <w:hyperlink r:id="rId6" w:history="1">
        <w:r w:rsidR="006F4727" w:rsidRPr="00D4211E">
          <w:rPr>
            <w:rFonts w:ascii="Times New Roman" w:eastAsia="Times New Roman" w:hAnsi="Times New Roman" w:cs="Times New Roman"/>
            <w:sz w:val="27"/>
            <w:szCs w:val="27"/>
            <w:lang w:eastAsia="it-IT"/>
          </w:rPr>
          <w:t>Comunicazione della Commissione sulla nozione di aiuto di Stato di cui all’articolo 107, paragrafo 1, del trattato sul funzionamento dell’Unione europea.</w:t>
        </w:r>
      </w:hyperlink>
    </w:p>
    <w:p w14:paraId="243937F4" w14:textId="77777777" w:rsidR="006F4727" w:rsidRPr="00D4211E" w:rsidRDefault="006F4727" w:rsidP="00D4211E">
      <w:pPr>
        <w:spacing w:before="390" w:after="195" w:line="240" w:lineRule="auto"/>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QUAL È L’OBIETTIVO DELLA COMUNICAZIONE?</w:t>
      </w:r>
    </w:p>
    <w:p w14:paraId="422444BC" w14:textId="13E9DB40" w:rsidR="006F4727" w:rsidRPr="00D4211E" w:rsidRDefault="006F4727" w:rsidP="00D4211E">
      <w:pPr>
        <w:spacing w:before="195" w:after="0" w:line="240" w:lineRule="auto"/>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La nozione di aiuto di Stato è un concetto oggettivo</w:t>
      </w:r>
      <w:r w:rsidR="002E138B">
        <w:rPr>
          <w:rFonts w:ascii="Times New Roman" w:eastAsia="Times New Roman" w:hAnsi="Times New Roman" w:cs="Times New Roman"/>
          <w:sz w:val="27"/>
          <w:szCs w:val="27"/>
          <w:lang w:eastAsia="it-IT"/>
        </w:rPr>
        <w:t>,</w:t>
      </w:r>
      <w:r w:rsidRPr="00D4211E">
        <w:rPr>
          <w:rFonts w:ascii="Times New Roman" w:eastAsia="Times New Roman" w:hAnsi="Times New Roman" w:cs="Times New Roman"/>
          <w:sz w:val="27"/>
          <w:szCs w:val="27"/>
          <w:lang w:eastAsia="it-IT"/>
        </w:rPr>
        <w:t xml:space="preserve"> definito dall’</w:t>
      </w:r>
      <w:hyperlink r:id="rId7" w:history="1">
        <w:r w:rsidRPr="00D4211E">
          <w:rPr>
            <w:rFonts w:ascii="Times New Roman" w:eastAsia="Times New Roman" w:hAnsi="Times New Roman" w:cs="Times New Roman"/>
            <w:sz w:val="27"/>
            <w:szCs w:val="27"/>
            <w:lang w:eastAsia="it-IT"/>
          </w:rPr>
          <w:t>articolo 107, paragrafo 1</w:t>
        </w:r>
      </w:hyperlink>
      <w:r w:rsidRPr="00D4211E">
        <w:rPr>
          <w:rFonts w:ascii="Times New Roman" w:eastAsia="Times New Roman" w:hAnsi="Times New Roman" w:cs="Times New Roman"/>
          <w:sz w:val="27"/>
          <w:szCs w:val="27"/>
          <w:lang w:eastAsia="it-IT"/>
        </w:rPr>
        <w:t xml:space="preserve">, del </w:t>
      </w:r>
      <w:r w:rsidR="002E138B">
        <w:rPr>
          <w:rFonts w:ascii="Times New Roman" w:eastAsia="Times New Roman" w:hAnsi="Times New Roman" w:cs="Times New Roman"/>
          <w:sz w:val="27"/>
          <w:szCs w:val="27"/>
          <w:lang w:eastAsia="it-IT"/>
        </w:rPr>
        <w:t>T</w:t>
      </w:r>
      <w:r w:rsidRPr="00D4211E">
        <w:rPr>
          <w:rFonts w:ascii="Times New Roman" w:eastAsia="Times New Roman" w:hAnsi="Times New Roman" w:cs="Times New Roman"/>
          <w:sz w:val="27"/>
          <w:szCs w:val="27"/>
          <w:lang w:eastAsia="it-IT"/>
        </w:rPr>
        <w:t>rattato sul funzionamento dell’Unione europea (TFUE). La comunicazione fornisce chiarimenti sui concetti chiave relativi alla nozione di aiuto di Stato di cui al citato articolo.</w:t>
      </w:r>
    </w:p>
    <w:p w14:paraId="02E6473B" w14:textId="77777777" w:rsidR="006F4727" w:rsidRPr="00517083" w:rsidRDefault="006F4727" w:rsidP="00D4211E">
      <w:pPr>
        <w:spacing w:before="195" w:after="0" w:line="240" w:lineRule="auto"/>
        <w:jc w:val="both"/>
        <w:rPr>
          <w:rFonts w:ascii="Times New Roman" w:eastAsia="Times New Roman" w:hAnsi="Times New Roman" w:cs="Times New Roman"/>
          <w:b/>
          <w:bCs/>
          <w:sz w:val="27"/>
          <w:szCs w:val="27"/>
          <w:lang w:eastAsia="it-IT"/>
        </w:rPr>
      </w:pPr>
      <w:r w:rsidRPr="00517083">
        <w:rPr>
          <w:rFonts w:ascii="Times New Roman" w:eastAsia="Times New Roman" w:hAnsi="Times New Roman" w:cs="Times New Roman"/>
          <w:b/>
          <w:bCs/>
          <w:sz w:val="27"/>
          <w:szCs w:val="27"/>
          <w:lang w:eastAsia="it-IT"/>
        </w:rPr>
        <w:t>Definizione di aiuto di Stato nell’articolo 107, paragrafo 1 del TFUE</w:t>
      </w:r>
    </w:p>
    <w:p w14:paraId="57476664" w14:textId="77777777" w:rsidR="006F4727" w:rsidRPr="00D4211E" w:rsidRDefault="006F4727" w:rsidP="00517083">
      <w:pPr>
        <w:spacing w:before="240" w:after="240" w:line="240" w:lineRule="auto"/>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Qualsiasi aiuto concesso da uno Stato membro, ovvero mediante risorse statali, sotto qualsiasi forma che, favorendo talune imprese o talune produzioni, falsa o minaccia di falsare la </w:t>
      </w:r>
      <w:hyperlink r:id="rId8" w:history="1">
        <w:r w:rsidRPr="00D4211E">
          <w:rPr>
            <w:rFonts w:ascii="Times New Roman" w:eastAsia="Times New Roman" w:hAnsi="Times New Roman" w:cs="Times New Roman"/>
            <w:sz w:val="27"/>
            <w:szCs w:val="27"/>
            <w:lang w:eastAsia="it-IT"/>
          </w:rPr>
          <w:t>concorrenza</w:t>
        </w:r>
      </w:hyperlink>
      <w:r w:rsidRPr="00D4211E">
        <w:rPr>
          <w:rFonts w:ascii="Times New Roman" w:eastAsia="Times New Roman" w:hAnsi="Times New Roman" w:cs="Times New Roman"/>
          <w:sz w:val="27"/>
          <w:szCs w:val="27"/>
          <w:lang w:eastAsia="it-IT"/>
        </w:rPr>
        <w:t>, nella misura in cui incide sugli scambi tra gli Stati membri, è incompatibile con il mercato interno.</w:t>
      </w:r>
    </w:p>
    <w:p w14:paraId="693000DD" w14:textId="77777777" w:rsidR="006F4727" w:rsidRPr="00D4211E" w:rsidRDefault="006F4727" w:rsidP="00517083">
      <w:pPr>
        <w:spacing w:before="240" w:after="240" w:line="240" w:lineRule="auto"/>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Vi sono quattro criteri cumulativi per la presenza di aiuti di Stato:</w:t>
      </w:r>
    </w:p>
    <w:p w14:paraId="719E1CC3" w14:textId="5F97667E" w:rsidR="006F4727" w:rsidRPr="00D4211E" w:rsidRDefault="00517083" w:rsidP="00517083">
      <w:pPr>
        <w:spacing w:before="240" w:after="240" w:line="240" w:lineRule="auto"/>
        <w:jc w:val="both"/>
        <w:rPr>
          <w:rFonts w:ascii="Times New Roman" w:eastAsia="Times New Roman" w:hAnsi="Times New Roman" w:cs="Times New Roman"/>
          <w:sz w:val="27"/>
          <w:szCs w:val="27"/>
          <w:lang w:eastAsia="it-IT"/>
        </w:rPr>
      </w:pPr>
      <w:r>
        <w:rPr>
          <w:rFonts w:ascii="Times New Roman" w:eastAsia="Times New Roman" w:hAnsi="Times New Roman" w:cs="Times New Roman"/>
          <w:sz w:val="27"/>
          <w:szCs w:val="27"/>
          <w:lang w:eastAsia="it-IT"/>
        </w:rPr>
        <w:t xml:space="preserve">- </w:t>
      </w:r>
      <w:r w:rsidR="006F4727" w:rsidRPr="00D4211E">
        <w:rPr>
          <w:rFonts w:ascii="Times New Roman" w:eastAsia="Times New Roman" w:hAnsi="Times New Roman" w:cs="Times New Roman"/>
          <w:sz w:val="27"/>
          <w:szCs w:val="27"/>
          <w:lang w:eastAsia="it-IT"/>
        </w:rPr>
        <w:t>il sostegno è concesso dallo Stato o tramite risorse statali;</w:t>
      </w:r>
    </w:p>
    <w:p w14:paraId="59C2560E" w14:textId="27BB4193" w:rsidR="006F4727" w:rsidRPr="00D4211E" w:rsidRDefault="00517083" w:rsidP="00517083">
      <w:pPr>
        <w:spacing w:before="240" w:after="240" w:line="240" w:lineRule="auto"/>
        <w:jc w:val="both"/>
        <w:rPr>
          <w:rFonts w:ascii="Times New Roman" w:eastAsia="Times New Roman" w:hAnsi="Times New Roman" w:cs="Times New Roman"/>
          <w:sz w:val="27"/>
          <w:szCs w:val="27"/>
          <w:lang w:eastAsia="it-IT"/>
        </w:rPr>
      </w:pPr>
      <w:r>
        <w:rPr>
          <w:rFonts w:ascii="Times New Roman" w:eastAsia="Times New Roman" w:hAnsi="Times New Roman" w:cs="Times New Roman"/>
          <w:sz w:val="27"/>
          <w:szCs w:val="27"/>
          <w:lang w:eastAsia="it-IT"/>
        </w:rPr>
        <w:t xml:space="preserve">- </w:t>
      </w:r>
      <w:r w:rsidR="006F4727" w:rsidRPr="00D4211E">
        <w:rPr>
          <w:rFonts w:ascii="Times New Roman" w:eastAsia="Times New Roman" w:hAnsi="Times New Roman" w:cs="Times New Roman"/>
          <w:sz w:val="27"/>
          <w:szCs w:val="27"/>
          <w:lang w:eastAsia="it-IT"/>
        </w:rPr>
        <w:t>favorisce una o più imprese: esiste un vantaggio selettivo;</w:t>
      </w:r>
    </w:p>
    <w:p w14:paraId="0F6C429C" w14:textId="11454391" w:rsidR="006F4727" w:rsidRPr="00D4211E" w:rsidRDefault="00517083" w:rsidP="00517083">
      <w:pPr>
        <w:spacing w:before="240" w:after="240" w:line="240" w:lineRule="auto"/>
        <w:jc w:val="both"/>
        <w:rPr>
          <w:rFonts w:ascii="Times New Roman" w:eastAsia="Times New Roman" w:hAnsi="Times New Roman" w:cs="Times New Roman"/>
          <w:sz w:val="27"/>
          <w:szCs w:val="27"/>
          <w:lang w:eastAsia="it-IT"/>
        </w:rPr>
      </w:pPr>
      <w:r>
        <w:rPr>
          <w:rFonts w:ascii="Times New Roman" w:eastAsia="Times New Roman" w:hAnsi="Times New Roman" w:cs="Times New Roman"/>
          <w:sz w:val="27"/>
          <w:szCs w:val="27"/>
          <w:lang w:eastAsia="it-IT"/>
        </w:rPr>
        <w:t xml:space="preserve">- </w:t>
      </w:r>
      <w:r w:rsidR="006F4727" w:rsidRPr="00D4211E">
        <w:rPr>
          <w:rFonts w:ascii="Times New Roman" w:eastAsia="Times New Roman" w:hAnsi="Times New Roman" w:cs="Times New Roman"/>
          <w:sz w:val="27"/>
          <w:szCs w:val="27"/>
          <w:lang w:eastAsia="it-IT"/>
        </w:rPr>
        <w:t>il sostegno distorce o ha il potenziale per falsare la concorrenza; e</w:t>
      </w:r>
    </w:p>
    <w:p w14:paraId="47442740" w14:textId="332C441D" w:rsidR="006F4727" w:rsidRDefault="00517083" w:rsidP="00517083">
      <w:pPr>
        <w:spacing w:before="240" w:after="240" w:line="240" w:lineRule="auto"/>
        <w:jc w:val="both"/>
        <w:rPr>
          <w:rFonts w:ascii="Times New Roman" w:eastAsia="Times New Roman" w:hAnsi="Times New Roman" w:cs="Times New Roman"/>
          <w:sz w:val="27"/>
          <w:szCs w:val="27"/>
          <w:lang w:eastAsia="it-IT"/>
        </w:rPr>
      </w:pPr>
      <w:r>
        <w:rPr>
          <w:rFonts w:ascii="Times New Roman" w:eastAsia="Times New Roman" w:hAnsi="Times New Roman" w:cs="Times New Roman"/>
          <w:sz w:val="27"/>
          <w:szCs w:val="27"/>
          <w:lang w:eastAsia="it-IT"/>
        </w:rPr>
        <w:t xml:space="preserve">- </w:t>
      </w:r>
      <w:r w:rsidR="006F4727" w:rsidRPr="00D4211E">
        <w:rPr>
          <w:rFonts w:ascii="Times New Roman" w:eastAsia="Times New Roman" w:hAnsi="Times New Roman" w:cs="Times New Roman"/>
          <w:sz w:val="27"/>
          <w:szCs w:val="27"/>
          <w:lang w:eastAsia="it-IT"/>
        </w:rPr>
        <w:t>incide sugli scambi tra Stati membri.</w:t>
      </w:r>
    </w:p>
    <w:p w14:paraId="443DEE8B" w14:textId="77777777" w:rsidR="00517083" w:rsidRPr="00D4211E" w:rsidRDefault="00517083" w:rsidP="00517083">
      <w:pPr>
        <w:spacing w:before="240" w:after="240" w:line="240" w:lineRule="auto"/>
        <w:jc w:val="both"/>
        <w:rPr>
          <w:rFonts w:ascii="Times New Roman" w:eastAsia="Times New Roman" w:hAnsi="Times New Roman" w:cs="Times New Roman"/>
          <w:sz w:val="27"/>
          <w:szCs w:val="27"/>
          <w:lang w:eastAsia="it-IT"/>
        </w:rPr>
      </w:pPr>
    </w:p>
    <w:p w14:paraId="1CA28E28" w14:textId="77777777" w:rsidR="006F4727" w:rsidRPr="00517083" w:rsidRDefault="006F4727" w:rsidP="00D4211E">
      <w:pPr>
        <w:spacing w:before="195" w:after="0" w:line="240" w:lineRule="auto"/>
        <w:jc w:val="both"/>
        <w:rPr>
          <w:rFonts w:ascii="Times New Roman" w:eastAsia="Times New Roman" w:hAnsi="Times New Roman" w:cs="Times New Roman"/>
          <w:b/>
          <w:bCs/>
          <w:sz w:val="27"/>
          <w:szCs w:val="27"/>
          <w:lang w:eastAsia="it-IT"/>
        </w:rPr>
      </w:pPr>
      <w:r w:rsidRPr="00517083">
        <w:rPr>
          <w:rFonts w:ascii="Times New Roman" w:eastAsia="Times New Roman" w:hAnsi="Times New Roman" w:cs="Times New Roman"/>
          <w:b/>
          <w:bCs/>
          <w:sz w:val="27"/>
          <w:szCs w:val="27"/>
          <w:lang w:eastAsia="it-IT"/>
        </w:rPr>
        <w:t>Indicazioni e precisazioni</w:t>
      </w:r>
    </w:p>
    <w:p w14:paraId="23344816" w14:textId="77777777" w:rsidR="006F4727" w:rsidRPr="00D4211E" w:rsidRDefault="006F4727" w:rsidP="00D4211E">
      <w:pPr>
        <w:spacing w:before="195" w:after="0" w:line="240" w:lineRule="auto"/>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Riassumendo sistematicamente la giurisprudenza dei tribunali dell’UE e la prassi decisionale della </w:t>
      </w:r>
      <w:hyperlink r:id="rId9" w:history="1">
        <w:r w:rsidRPr="00D4211E">
          <w:rPr>
            <w:rFonts w:ascii="Times New Roman" w:eastAsia="Times New Roman" w:hAnsi="Times New Roman" w:cs="Times New Roman"/>
            <w:sz w:val="27"/>
            <w:szCs w:val="27"/>
            <w:lang w:eastAsia="it-IT"/>
          </w:rPr>
          <w:t>Commissione europea</w:t>
        </w:r>
      </w:hyperlink>
      <w:r w:rsidRPr="00D4211E">
        <w:rPr>
          <w:rFonts w:ascii="Times New Roman" w:eastAsia="Times New Roman" w:hAnsi="Times New Roman" w:cs="Times New Roman"/>
          <w:sz w:val="27"/>
          <w:szCs w:val="27"/>
          <w:lang w:eastAsia="it-IT"/>
        </w:rPr>
        <w:t>, la comunicazione fornisce una guida generale su tutti gli aspetti della definizione di aiuto di Stato.</w:t>
      </w:r>
    </w:p>
    <w:p w14:paraId="27BE2645" w14:textId="12C853E7" w:rsidR="006F4727" w:rsidRPr="00FB0D09" w:rsidRDefault="00FB0D09" w:rsidP="00FB0D09">
      <w:pPr>
        <w:spacing w:before="240" w:after="240" w:line="240" w:lineRule="auto"/>
        <w:rPr>
          <w:rFonts w:ascii="Times New Roman" w:eastAsia="Times New Roman" w:hAnsi="Times New Roman" w:cs="Times New Roman"/>
          <w:b/>
          <w:bCs/>
          <w:sz w:val="27"/>
          <w:szCs w:val="27"/>
          <w:lang w:eastAsia="it-IT"/>
        </w:rPr>
      </w:pPr>
      <w:r>
        <w:rPr>
          <w:rFonts w:ascii="Times New Roman" w:eastAsia="Times New Roman" w:hAnsi="Times New Roman" w:cs="Times New Roman"/>
          <w:sz w:val="27"/>
          <w:szCs w:val="27"/>
          <w:lang w:eastAsia="it-IT"/>
        </w:rPr>
        <w:lastRenderedPageBreak/>
        <w:t xml:space="preserve">- </w:t>
      </w:r>
      <w:r w:rsidR="006F4727" w:rsidRPr="00FB0D09">
        <w:rPr>
          <w:rFonts w:ascii="Times New Roman" w:eastAsia="Times New Roman" w:hAnsi="Times New Roman" w:cs="Times New Roman"/>
          <w:b/>
          <w:bCs/>
          <w:sz w:val="27"/>
          <w:szCs w:val="27"/>
          <w:lang w:eastAsia="it-IT"/>
        </w:rPr>
        <w:t>La nozione di impresa e di attività economica:</w:t>
      </w:r>
    </w:p>
    <w:p w14:paraId="44CEFA56" w14:textId="77777777" w:rsidR="006F4727" w:rsidRPr="00D4211E" w:rsidRDefault="006F4727" w:rsidP="00FB0D09">
      <w:pPr>
        <w:spacing w:before="240" w:after="240" w:line="240" w:lineRule="auto"/>
        <w:ind w:firstLine="708"/>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la </w:t>
      </w:r>
      <w:hyperlink r:id="rId10" w:history="1">
        <w:r w:rsidRPr="00D4211E">
          <w:rPr>
            <w:rFonts w:ascii="Times New Roman" w:eastAsia="Times New Roman" w:hAnsi="Times New Roman" w:cs="Times New Roman"/>
            <w:sz w:val="27"/>
            <w:szCs w:val="27"/>
            <w:lang w:eastAsia="it-IT"/>
          </w:rPr>
          <w:t>Corte di giustizia</w:t>
        </w:r>
      </w:hyperlink>
      <w:r w:rsidRPr="00D4211E">
        <w:rPr>
          <w:rFonts w:ascii="Times New Roman" w:eastAsia="Times New Roman" w:hAnsi="Times New Roman" w:cs="Times New Roman"/>
          <w:sz w:val="27"/>
          <w:szCs w:val="27"/>
          <w:lang w:eastAsia="it-IT"/>
        </w:rPr>
        <w:t> ha definito le «imprese» come enti che esercitano un’attività economica, a prescindere dal loro stato giuridico e dalle loro modalità di finanziamento. «Attività economica» si riferisce a qualunque attività che consista nell’offrire beni e servizi su un mercato.</w:t>
      </w:r>
    </w:p>
    <w:p w14:paraId="536683D7" w14:textId="018ACD8F" w:rsidR="006F4727" w:rsidRPr="00900F37" w:rsidRDefault="00900F37" w:rsidP="00900F37">
      <w:pPr>
        <w:spacing w:before="240" w:after="240" w:line="240" w:lineRule="auto"/>
        <w:jc w:val="both"/>
        <w:rPr>
          <w:rFonts w:ascii="Times New Roman" w:eastAsia="Times New Roman" w:hAnsi="Times New Roman" w:cs="Times New Roman"/>
          <w:b/>
          <w:bCs/>
          <w:sz w:val="27"/>
          <w:szCs w:val="27"/>
          <w:lang w:eastAsia="it-IT"/>
        </w:rPr>
      </w:pPr>
      <w:r>
        <w:rPr>
          <w:rFonts w:ascii="Times New Roman" w:eastAsia="Times New Roman" w:hAnsi="Times New Roman" w:cs="Times New Roman"/>
          <w:sz w:val="27"/>
          <w:szCs w:val="27"/>
          <w:lang w:eastAsia="it-IT"/>
        </w:rPr>
        <w:t xml:space="preserve">- </w:t>
      </w:r>
      <w:r w:rsidR="006F4727" w:rsidRPr="00900F37">
        <w:rPr>
          <w:rFonts w:ascii="Times New Roman" w:eastAsia="Times New Roman" w:hAnsi="Times New Roman" w:cs="Times New Roman"/>
          <w:b/>
          <w:bCs/>
          <w:sz w:val="27"/>
          <w:szCs w:val="27"/>
          <w:lang w:eastAsia="it-IT"/>
        </w:rPr>
        <w:t>Origine statale — se l’aiuto di Stato ha origine pubblica:</w:t>
      </w:r>
    </w:p>
    <w:p w14:paraId="1EDCBDB4" w14:textId="44FCA73D" w:rsidR="006F4727" w:rsidRPr="00D4211E" w:rsidRDefault="006F4727" w:rsidP="00900F37">
      <w:pPr>
        <w:spacing w:before="240" w:after="240" w:line="240" w:lineRule="auto"/>
        <w:ind w:firstLine="708"/>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il sostegno concesso direttamente o indirettamente mediante risorse statali e attribuibili allo Stato può costituire un aiuto di Stato. Le risorse statali comprendono tutte le risorse che provengono dal settore pubblico, comprese le risorse di enti infra</w:t>
      </w:r>
      <w:r w:rsidR="00900F37">
        <w:rPr>
          <w:rFonts w:ascii="Times New Roman" w:eastAsia="Times New Roman" w:hAnsi="Times New Roman" w:cs="Times New Roman"/>
          <w:sz w:val="27"/>
          <w:szCs w:val="27"/>
          <w:lang w:eastAsia="it-IT"/>
        </w:rPr>
        <w:t>-</w:t>
      </w:r>
      <w:r w:rsidRPr="00D4211E">
        <w:rPr>
          <w:rFonts w:ascii="Times New Roman" w:eastAsia="Times New Roman" w:hAnsi="Times New Roman" w:cs="Times New Roman"/>
          <w:sz w:val="27"/>
          <w:szCs w:val="27"/>
          <w:lang w:eastAsia="it-IT"/>
        </w:rPr>
        <w:t>statali (decentrati, federati, regionali o altri) e, in determinate circostanze, le risorse degli enti privati.</w:t>
      </w:r>
    </w:p>
    <w:p w14:paraId="156659C4" w14:textId="6994BEC2" w:rsidR="006F4727" w:rsidRPr="00492655" w:rsidRDefault="00492655" w:rsidP="00492655">
      <w:pPr>
        <w:spacing w:before="240" w:after="240" w:line="240" w:lineRule="auto"/>
        <w:jc w:val="both"/>
        <w:rPr>
          <w:rFonts w:ascii="Times New Roman" w:eastAsia="Times New Roman" w:hAnsi="Times New Roman" w:cs="Times New Roman"/>
          <w:b/>
          <w:bCs/>
          <w:sz w:val="27"/>
          <w:szCs w:val="27"/>
          <w:lang w:eastAsia="it-IT"/>
        </w:rPr>
      </w:pPr>
      <w:r>
        <w:rPr>
          <w:rFonts w:ascii="Times New Roman" w:eastAsia="Times New Roman" w:hAnsi="Times New Roman" w:cs="Times New Roman"/>
          <w:b/>
          <w:bCs/>
          <w:sz w:val="27"/>
          <w:szCs w:val="27"/>
          <w:lang w:eastAsia="it-IT"/>
        </w:rPr>
        <w:t xml:space="preserve">- </w:t>
      </w:r>
      <w:r w:rsidR="006F4727" w:rsidRPr="00492655">
        <w:rPr>
          <w:rFonts w:ascii="Times New Roman" w:eastAsia="Times New Roman" w:hAnsi="Times New Roman" w:cs="Times New Roman"/>
          <w:b/>
          <w:bCs/>
          <w:sz w:val="27"/>
          <w:szCs w:val="27"/>
          <w:lang w:eastAsia="it-IT"/>
        </w:rPr>
        <w:t>Vantaggio — quando si ottiene un beneficio economico:</w:t>
      </w:r>
    </w:p>
    <w:p w14:paraId="128E7099" w14:textId="77777777" w:rsidR="006F4727" w:rsidRPr="00D4211E" w:rsidRDefault="006F4727" w:rsidP="00492655">
      <w:pPr>
        <w:spacing w:before="240" w:after="240" w:line="240" w:lineRule="auto"/>
        <w:ind w:firstLine="708"/>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qualora la situazione finanziaria di un’impresa migliori grazie all’intervento dello Stato a condizioni diverse dalle normali condizioni di mercato, è presente un vantaggio.</w:t>
      </w:r>
    </w:p>
    <w:p w14:paraId="7D82607D" w14:textId="2B8D320A" w:rsidR="006F4727" w:rsidRPr="00D4211E" w:rsidRDefault="00492655" w:rsidP="00492655">
      <w:pPr>
        <w:spacing w:before="240" w:after="240" w:line="240" w:lineRule="auto"/>
        <w:jc w:val="both"/>
        <w:rPr>
          <w:rFonts w:ascii="Times New Roman" w:eastAsia="Times New Roman" w:hAnsi="Times New Roman" w:cs="Times New Roman"/>
          <w:sz w:val="27"/>
          <w:szCs w:val="27"/>
          <w:lang w:eastAsia="it-IT"/>
        </w:rPr>
      </w:pPr>
      <w:r>
        <w:rPr>
          <w:rFonts w:ascii="Times New Roman" w:eastAsia="Times New Roman" w:hAnsi="Times New Roman" w:cs="Times New Roman"/>
          <w:sz w:val="27"/>
          <w:szCs w:val="27"/>
          <w:lang w:eastAsia="it-IT"/>
        </w:rPr>
        <w:t xml:space="preserve">- </w:t>
      </w:r>
      <w:r w:rsidR="006F4727" w:rsidRPr="00492655">
        <w:rPr>
          <w:rFonts w:ascii="Times New Roman" w:eastAsia="Times New Roman" w:hAnsi="Times New Roman" w:cs="Times New Roman"/>
          <w:b/>
          <w:bCs/>
          <w:sz w:val="27"/>
          <w:szCs w:val="27"/>
          <w:lang w:eastAsia="it-IT"/>
        </w:rPr>
        <w:t>Selettività — se la misura di Stato concede un vantaggio in maniera selettiva a determinate imprese o categorie di imprese o a determinati settori economici:</w:t>
      </w:r>
    </w:p>
    <w:p w14:paraId="0DBCA37C" w14:textId="77777777" w:rsidR="006F4727" w:rsidRPr="00D4211E" w:rsidRDefault="006F4727" w:rsidP="00492655">
      <w:pPr>
        <w:spacing w:before="240" w:after="240" w:line="240" w:lineRule="auto"/>
        <w:ind w:firstLine="708"/>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le misure di portata meramente generale effettivamente accessibili a tutte le imprese che operano in uno Stato membro su base paritaria non sono selettive. Tuttavia, affinché le misure abbiano un carattere veramente generale, esse non devono di fatto vedere ridotto il loro ambito di applicazione da fattori che ne limitano gli effetti concreti.</w:t>
      </w:r>
    </w:p>
    <w:p w14:paraId="18D87A21" w14:textId="77777777" w:rsidR="006F4727" w:rsidRPr="00F36D03" w:rsidRDefault="006F4727" w:rsidP="00F36D03">
      <w:pPr>
        <w:spacing w:before="240" w:after="240" w:line="240" w:lineRule="auto"/>
        <w:jc w:val="both"/>
        <w:rPr>
          <w:rFonts w:ascii="Times New Roman" w:eastAsia="Times New Roman" w:hAnsi="Times New Roman" w:cs="Times New Roman"/>
          <w:b/>
          <w:bCs/>
          <w:sz w:val="27"/>
          <w:szCs w:val="27"/>
          <w:lang w:eastAsia="it-IT"/>
        </w:rPr>
      </w:pPr>
      <w:r w:rsidRPr="00F36D03">
        <w:rPr>
          <w:rFonts w:ascii="Times New Roman" w:eastAsia="Times New Roman" w:hAnsi="Times New Roman" w:cs="Times New Roman"/>
          <w:b/>
          <w:bCs/>
          <w:sz w:val="27"/>
          <w:szCs w:val="27"/>
          <w:lang w:eastAsia="it-IT"/>
        </w:rPr>
        <w:t>Incidenza sugli scambi e sulla concorrenza — se l’attività economica falsa o minaccia di falsare la concorrenza favorendo determinate imprese o la produzione di determinati beni e solo nella misura in cui essa incide sugli scambi tra Stati membri:</w:t>
      </w:r>
    </w:p>
    <w:p w14:paraId="43D212AA" w14:textId="77777777" w:rsidR="006F4727" w:rsidRPr="00D4211E" w:rsidRDefault="006F4727" w:rsidP="00F36D03">
      <w:pPr>
        <w:spacing w:before="240" w:after="240" w:line="240" w:lineRule="auto"/>
        <w:ind w:firstLine="708"/>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una misura concessa dallo Stato che falsi o minacci di falsare la concorrenza quando è in grado di migliorare la posizione concorrenziale del beneficiario nei confronti di altre imprese concorrenti. Non è necessario stabilire che l’aiuto abbia un reale effetto sugli scambi tra gli Stati membri, ma solo se l’aiuto può incidere su tali scambi.</w:t>
      </w:r>
    </w:p>
    <w:p w14:paraId="2833AFB6" w14:textId="77777777" w:rsidR="001113C2" w:rsidRDefault="001113C2" w:rsidP="00D4211E">
      <w:pPr>
        <w:spacing w:before="195" w:after="0" w:line="240" w:lineRule="auto"/>
        <w:jc w:val="both"/>
        <w:rPr>
          <w:rFonts w:ascii="Times New Roman" w:eastAsia="Times New Roman" w:hAnsi="Times New Roman" w:cs="Times New Roman"/>
          <w:sz w:val="27"/>
          <w:szCs w:val="27"/>
          <w:lang w:eastAsia="it-IT"/>
        </w:rPr>
      </w:pPr>
    </w:p>
    <w:p w14:paraId="6D22D2F4" w14:textId="1DD24F2A" w:rsidR="006F4727" w:rsidRPr="001113C2" w:rsidRDefault="006F4727" w:rsidP="00D4211E">
      <w:pPr>
        <w:spacing w:before="195" w:after="0" w:line="240" w:lineRule="auto"/>
        <w:jc w:val="both"/>
        <w:rPr>
          <w:rFonts w:ascii="Times New Roman" w:eastAsia="Times New Roman" w:hAnsi="Times New Roman" w:cs="Times New Roman"/>
          <w:b/>
          <w:bCs/>
          <w:sz w:val="27"/>
          <w:szCs w:val="27"/>
          <w:lang w:eastAsia="it-IT"/>
        </w:rPr>
      </w:pPr>
      <w:r w:rsidRPr="001113C2">
        <w:rPr>
          <w:rFonts w:ascii="Times New Roman" w:eastAsia="Times New Roman" w:hAnsi="Times New Roman" w:cs="Times New Roman"/>
          <w:b/>
          <w:bCs/>
          <w:sz w:val="27"/>
          <w:szCs w:val="27"/>
          <w:lang w:eastAsia="it-IT"/>
        </w:rPr>
        <w:t>Investimenti pubblici nelle infrastrutture</w:t>
      </w:r>
    </w:p>
    <w:p w14:paraId="6C03DA9E" w14:textId="77777777" w:rsidR="006F4727" w:rsidRPr="00D4211E" w:rsidRDefault="006F4727" w:rsidP="001113C2">
      <w:pPr>
        <w:spacing w:before="240" w:after="240" w:line="240" w:lineRule="auto"/>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Inoltre, la comunicazione chiarisce alcuni punti relativi agli investimenti pubblici nelle infrastrutture, quando il finanziamento pubblico delle infrastrutture favorisce un’impresa, concede un vantaggio e ha un effetto sulla concorrenza e sugli scambi tra Stati membri.</w:t>
      </w:r>
    </w:p>
    <w:p w14:paraId="6AE6C287" w14:textId="77777777" w:rsidR="006F4727" w:rsidRPr="00D4211E" w:rsidRDefault="006F4727" w:rsidP="001113C2">
      <w:pPr>
        <w:spacing w:before="240" w:after="240" w:line="240" w:lineRule="auto"/>
        <w:jc w:val="both"/>
        <w:rPr>
          <w:rFonts w:ascii="Times New Roman" w:eastAsia="Times New Roman" w:hAnsi="Times New Roman" w:cs="Times New Roman"/>
          <w:sz w:val="27"/>
          <w:szCs w:val="27"/>
          <w:lang w:eastAsia="it-IT"/>
        </w:rPr>
      </w:pPr>
      <w:r w:rsidRPr="00D4211E">
        <w:rPr>
          <w:rFonts w:ascii="Times New Roman" w:eastAsia="Times New Roman" w:hAnsi="Times New Roman" w:cs="Times New Roman"/>
          <w:sz w:val="27"/>
          <w:szCs w:val="27"/>
          <w:lang w:eastAsia="it-IT"/>
        </w:rPr>
        <w:t xml:space="preserve">I progetti infrastrutturali spesso coinvolgono diverse categorie di soggetti e qualsiasi tipo di aiuto di Stato interessato può potenzialmente andare a vantaggio della costruzione (compreso l’ampliamento o il miglioramento), della gestione o dell’utilizzo </w:t>
      </w:r>
      <w:r w:rsidRPr="00D4211E">
        <w:rPr>
          <w:rFonts w:ascii="Times New Roman" w:eastAsia="Times New Roman" w:hAnsi="Times New Roman" w:cs="Times New Roman"/>
          <w:sz w:val="27"/>
          <w:szCs w:val="27"/>
          <w:lang w:eastAsia="it-IT"/>
        </w:rPr>
        <w:lastRenderedPageBreak/>
        <w:t>dell’infrastruttura. La comunicazione fornisce pertanto indicazioni specifiche sulla distinzione tra:</w:t>
      </w:r>
    </w:p>
    <w:p w14:paraId="31C19ADF" w14:textId="3679BA70" w:rsidR="006F4727" w:rsidRPr="00D4211E" w:rsidRDefault="001113C2" w:rsidP="001113C2">
      <w:pPr>
        <w:spacing w:before="240" w:after="240" w:line="240" w:lineRule="auto"/>
        <w:jc w:val="both"/>
        <w:rPr>
          <w:rFonts w:ascii="Times New Roman" w:eastAsia="Times New Roman" w:hAnsi="Times New Roman" w:cs="Times New Roman"/>
          <w:sz w:val="27"/>
          <w:szCs w:val="27"/>
          <w:lang w:eastAsia="it-IT"/>
        </w:rPr>
      </w:pPr>
      <w:r>
        <w:rPr>
          <w:rFonts w:ascii="Times New Roman" w:eastAsia="Times New Roman" w:hAnsi="Times New Roman" w:cs="Times New Roman"/>
          <w:sz w:val="27"/>
          <w:szCs w:val="27"/>
          <w:lang w:eastAsia="it-IT"/>
        </w:rPr>
        <w:t xml:space="preserve">- </w:t>
      </w:r>
      <w:r w:rsidR="006F4727" w:rsidRPr="00D4211E">
        <w:rPr>
          <w:rFonts w:ascii="Times New Roman" w:eastAsia="Times New Roman" w:hAnsi="Times New Roman" w:cs="Times New Roman"/>
          <w:sz w:val="27"/>
          <w:szCs w:val="27"/>
          <w:lang w:eastAsia="it-IT"/>
        </w:rPr>
        <w:t>aiuti al promotore e/o primo proprietario dell’infrastruttura;</w:t>
      </w:r>
    </w:p>
    <w:p w14:paraId="6B5F3127" w14:textId="41945638" w:rsidR="006F4727" w:rsidRPr="00D4211E" w:rsidRDefault="001113C2" w:rsidP="001113C2">
      <w:pPr>
        <w:spacing w:before="240" w:after="240" w:line="240" w:lineRule="auto"/>
        <w:jc w:val="both"/>
        <w:rPr>
          <w:rFonts w:ascii="Times New Roman" w:eastAsia="Times New Roman" w:hAnsi="Times New Roman" w:cs="Times New Roman"/>
          <w:sz w:val="27"/>
          <w:szCs w:val="27"/>
          <w:lang w:eastAsia="it-IT"/>
        </w:rPr>
      </w:pPr>
      <w:r>
        <w:rPr>
          <w:rFonts w:ascii="Times New Roman" w:eastAsia="Times New Roman" w:hAnsi="Times New Roman" w:cs="Times New Roman"/>
          <w:sz w:val="27"/>
          <w:szCs w:val="27"/>
          <w:lang w:eastAsia="it-IT"/>
        </w:rPr>
        <w:t xml:space="preserve">- </w:t>
      </w:r>
      <w:r w:rsidR="006F4727" w:rsidRPr="00D4211E">
        <w:rPr>
          <w:rFonts w:ascii="Times New Roman" w:eastAsia="Times New Roman" w:hAnsi="Times New Roman" w:cs="Times New Roman"/>
          <w:sz w:val="27"/>
          <w:szCs w:val="27"/>
          <w:lang w:eastAsia="it-IT"/>
        </w:rPr>
        <w:t>i gestori dell’infrastruttura (vale a dire le imprese che utilizzano direttamente l’infrastruttura per fornire servizi agli utenti finali, comprese le imprese che acquisiscono l’infrastruttura dal promotore/proprietario per sfruttarla economicamente o che ottengono una concessione o locazione per l’utilizzo e la gestione dell’infrastruttura); e</w:t>
      </w:r>
    </w:p>
    <w:p w14:paraId="3DEDA4B2" w14:textId="396E068A" w:rsidR="006F4727" w:rsidRPr="00D4211E" w:rsidRDefault="001113C2" w:rsidP="001113C2">
      <w:pPr>
        <w:spacing w:before="240" w:after="240" w:line="240" w:lineRule="auto"/>
        <w:jc w:val="both"/>
        <w:rPr>
          <w:rFonts w:ascii="Times New Roman" w:eastAsia="Times New Roman" w:hAnsi="Times New Roman" w:cs="Times New Roman"/>
          <w:sz w:val="27"/>
          <w:szCs w:val="27"/>
          <w:lang w:eastAsia="it-IT"/>
        </w:rPr>
      </w:pPr>
      <w:r>
        <w:rPr>
          <w:rFonts w:ascii="Times New Roman" w:eastAsia="Times New Roman" w:hAnsi="Times New Roman" w:cs="Times New Roman"/>
          <w:sz w:val="27"/>
          <w:szCs w:val="27"/>
          <w:lang w:eastAsia="it-IT"/>
        </w:rPr>
        <w:t xml:space="preserve">- </w:t>
      </w:r>
      <w:r w:rsidR="006F4727" w:rsidRPr="00D4211E">
        <w:rPr>
          <w:rFonts w:ascii="Times New Roman" w:eastAsia="Times New Roman" w:hAnsi="Times New Roman" w:cs="Times New Roman"/>
          <w:sz w:val="27"/>
          <w:szCs w:val="27"/>
          <w:lang w:eastAsia="it-IT"/>
        </w:rPr>
        <w:t>gli utilizzatori finali dell’infrastruttura.</w:t>
      </w:r>
    </w:p>
    <w:p w14:paraId="352EB06A" w14:textId="09507433" w:rsidR="006F4727" w:rsidRPr="00D4211E" w:rsidRDefault="006F4727" w:rsidP="00E442E3">
      <w:pPr>
        <w:spacing w:before="240" w:after="240" w:line="240" w:lineRule="auto"/>
        <w:jc w:val="both"/>
        <w:rPr>
          <w:rFonts w:ascii="Times New Roman" w:eastAsia="Times New Roman" w:hAnsi="Times New Roman" w:cs="Times New Roman"/>
          <w:sz w:val="27"/>
          <w:szCs w:val="27"/>
          <w:lang w:eastAsia="it-IT"/>
        </w:rPr>
      </w:pPr>
    </w:p>
    <w:sectPr w:rsidR="006F4727" w:rsidRPr="00D4211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101D2"/>
    <w:multiLevelType w:val="multilevel"/>
    <w:tmpl w:val="013CD8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D95E2B"/>
    <w:multiLevelType w:val="multilevel"/>
    <w:tmpl w:val="A2AC3D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F621AC"/>
    <w:multiLevelType w:val="multilevel"/>
    <w:tmpl w:val="13AE7A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9D7CE6"/>
    <w:multiLevelType w:val="multilevel"/>
    <w:tmpl w:val="B4DAA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727"/>
    <w:rsid w:val="001113C2"/>
    <w:rsid w:val="001D1B26"/>
    <w:rsid w:val="002E138B"/>
    <w:rsid w:val="003A43DD"/>
    <w:rsid w:val="00492655"/>
    <w:rsid w:val="00517083"/>
    <w:rsid w:val="006F4727"/>
    <w:rsid w:val="00900F37"/>
    <w:rsid w:val="00D4211E"/>
    <w:rsid w:val="00E442E3"/>
    <w:rsid w:val="00F36D03"/>
    <w:rsid w:val="00FB0D09"/>
    <w:rsid w:val="00FB2E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0C232"/>
  <w15:chartTrackingRefBased/>
  <w15:docId w15:val="{165F9461-3F16-419B-A0EE-83319E275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main">
    <w:name w:val="ti-main"/>
    <w:basedOn w:val="Normale"/>
    <w:rsid w:val="006F472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ormale1">
    <w:name w:val="Normale1"/>
    <w:basedOn w:val="Normale"/>
    <w:rsid w:val="006F472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i-chapter">
    <w:name w:val="ti-chapter"/>
    <w:basedOn w:val="Normale"/>
    <w:rsid w:val="006F472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6F4727"/>
    <w:rPr>
      <w:color w:val="0000FF"/>
      <w:u w:val="single"/>
    </w:rPr>
  </w:style>
  <w:style w:type="character" w:customStyle="1" w:styleId="bold">
    <w:name w:val="bold"/>
    <w:basedOn w:val="Carpredefinitoparagrafo"/>
    <w:rsid w:val="006F4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36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summary/glossary/competition.html" TargetMode="External"/><Relationship Id="rId3" Type="http://schemas.openxmlformats.org/officeDocument/2006/relationships/settings" Target="settings.xml"/><Relationship Id="rId7" Type="http://schemas.openxmlformats.org/officeDocument/2006/relationships/hyperlink" Target="https://eur-lex.europa.eu/legal-content/IT/AUTO/?uri=celex:12016E10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lex.europa.eu/legal-content/IT/AUTO/?uri=celex:52016XC0719%2805%29" TargetMode="External"/><Relationship Id="rId11" Type="http://schemas.openxmlformats.org/officeDocument/2006/relationships/fontTable" Target="fontTable.xml"/><Relationship Id="rId5" Type="http://schemas.openxmlformats.org/officeDocument/2006/relationships/hyperlink" Target="https://eur-lex.europa.eu/legal-content/IT/AUTO/?uri=celex:52016XC0719%2805%29" TargetMode="External"/><Relationship Id="rId10" Type="http://schemas.openxmlformats.org/officeDocument/2006/relationships/hyperlink" Target="http://eur-lex.europa.eu/summary/glossary/eu_court_justice.html" TargetMode="External"/><Relationship Id="rId4" Type="http://schemas.openxmlformats.org/officeDocument/2006/relationships/webSettings" Target="webSettings.xml"/><Relationship Id="rId9" Type="http://schemas.openxmlformats.org/officeDocument/2006/relationships/hyperlink" Target="http://eur-lex.europa.eu/summary/glossary/european_commission.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802</Words>
  <Characters>4575</Characters>
  <Application>Microsoft Office Word</Application>
  <DocSecurity>0</DocSecurity>
  <Lines>38</Lines>
  <Paragraphs>10</Paragraphs>
  <ScaleCrop>false</ScaleCrop>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11</cp:revision>
  <dcterms:created xsi:type="dcterms:W3CDTF">2021-06-21T08:34:00Z</dcterms:created>
  <dcterms:modified xsi:type="dcterms:W3CDTF">2021-07-01T21:56:00Z</dcterms:modified>
</cp:coreProperties>
</file>