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08BA5" w14:textId="4286CBC1" w:rsidR="00F71F7C" w:rsidRDefault="00CB149C" w:rsidP="0086409B">
      <w:pPr>
        <w:pStyle w:val="Titolo"/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 xml:space="preserve">Allegato 1) </w:t>
      </w:r>
      <w:r w:rsidR="00F71F7C" w:rsidRPr="00C5128F">
        <w:rPr>
          <w:b/>
          <w:bCs/>
          <w:sz w:val="40"/>
          <w:szCs w:val="40"/>
        </w:rPr>
        <w:t xml:space="preserve">Processo di </w:t>
      </w:r>
      <w:r w:rsidR="0035257C">
        <w:rPr>
          <w:b/>
          <w:bCs/>
          <w:sz w:val="40"/>
          <w:szCs w:val="40"/>
        </w:rPr>
        <w:t>spesa</w:t>
      </w:r>
      <w:r w:rsidR="00C5128F" w:rsidRPr="00C5128F">
        <w:rPr>
          <w:b/>
          <w:bCs/>
          <w:sz w:val="40"/>
          <w:szCs w:val="40"/>
        </w:rPr>
        <w:t xml:space="preserve"> </w:t>
      </w:r>
      <w:r w:rsidR="001D7B00">
        <w:rPr>
          <w:b/>
          <w:bCs/>
          <w:sz w:val="40"/>
          <w:szCs w:val="40"/>
        </w:rPr>
        <w:t xml:space="preserve">dei </w:t>
      </w:r>
      <w:r>
        <w:rPr>
          <w:b/>
          <w:bCs/>
          <w:sz w:val="40"/>
          <w:szCs w:val="40"/>
        </w:rPr>
        <w:t>debiti commerciali</w:t>
      </w:r>
    </w:p>
    <w:p w14:paraId="203FC171" w14:textId="77777777" w:rsidR="000454E3" w:rsidRDefault="000454E3" w:rsidP="000454E3"/>
    <w:p w14:paraId="3E540604" w14:textId="77777777" w:rsidR="000454E3" w:rsidRPr="000454E3" w:rsidRDefault="000454E3" w:rsidP="000454E3"/>
    <w:p w14:paraId="5789F901" w14:textId="77777777" w:rsidR="00C5128F" w:rsidRDefault="00C5128F" w:rsidP="00F71F7C"/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2972"/>
        <w:gridCol w:w="10206"/>
        <w:gridCol w:w="1559"/>
      </w:tblGrid>
      <w:tr w:rsidR="00733A8B" w:rsidRPr="00C5128F" w14:paraId="3A7AB50C" w14:textId="77777777" w:rsidTr="0086409B">
        <w:trPr>
          <w:tblHeader/>
        </w:trPr>
        <w:tc>
          <w:tcPr>
            <w:tcW w:w="2972" w:type="dxa"/>
            <w:shd w:val="clear" w:color="auto" w:fill="0E2841" w:themeFill="text2"/>
          </w:tcPr>
          <w:p w14:paraId="632280D0" w14:textId="77777777" w:rsidR="00733A8B" w:rsidRPr="00C5128F" w:rsidRDefault="00733A8B" w:rsidP="004E4341">
            <w:pPr>
              <w:rPr>
                <w:b/>
                <w:bCs/>
                <w:sz w:val="28"/>
                <w:szCs w:val="28"/>
              </w:rPr>
            </w:pPr>
            <w:r w:rsidRPr="00C5128F">
              <w:rPr>
                <w:b/>
                <w:bCs/>
                <w:sz w:val="28"/>
                <w:szCs w:val="28"/>
              </w:rPr>
              <w:t>Attività</w:t>
            </w:r>
          </w:p>
        </w:tc>
        <w:tc>
          <w:tcPr>
            <w:tcW w:w="10206" w:type="dxa"/>
            <w:shd w:val="clear" w:color="auto" w:fill="0E2841" w:themeFill="text2"/>
          </w:tcPr>
          <w:p w14:paraId="3DB4A984" w14:textId="77777777" w:rsidR="00733A8B" w:rsidRPr="00C5128F" w:rsidRDefault="00733A8B" w:rsidP="004E4341">
            <w:pPr>
              <w:rPr>
                <w:b/>
                <w:bCs/>
                <w:sz w:val="28"/>
                <w:szCs w:val="28"/>
              </w:rPr>
            </w:pPr>
            <w:r w:rsidRPr="00C5128F">
              <w:rPr>
                <w:b/>
                <w:bCs/>
                <w:sz w:val="28"/>
                <w:szCs w:val="28"/>
              </w:rPr>
              <w:t>Descrizione</w:t>
            </w:r>
          </w:p>
        </w:tc>
        <w:tc>
          <w:tcPr>
            <w:tcW w:w="1559" w:type="dxa"/>
            <w:shd w:val="clear" w:color="auto" w:fill="0E2841" w:themeFill="text2"/>
          </w:tcPr>
          <w:p w14:paraId="56D813C1" w14:textId="77777777" w:rsidR="00733A8B" w:rsidRPr="00C5128F" w:rsidRDefault="00733A8B" w:rsidP="004E434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Tempi</w:t>
            </w:r>
            <w:r w:rsidR="00AF77DD">
              <w:rPr>
                <w:b/>
                <w:bCs/>
                <w:sz w:val="28"/>
                <w:szCs w:val="28"/>
              </w:rPr>
              <w:t xml:space="preserve"> </w:t>
            </w:r>
            <w:r w:rsidR="003E5507">
              <w:rPr>
                <w:b/>
                <w:bCs/>
                <w:sz w:val="28"/>
                <w:szCs w:val="28"/>
              </w:rPr>
              <w:t>(</w:t>
            </w:r>
            <w:r w:rsidR="00AF77DD">
              <w:rPr>
                <w:b/>
                <w:bCs/>
                <w:sz w:val="28"/>
                <w:szCs w:val="28"/>
              </w:rPr>
              <w:t>*</w:t>
            </w:r>
            <w:r w:rsidR="003E5507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733A8B" w14:paraId="24ED7CCB" w14:textId="77777777" w:rsidTr="0086409B">
        <w:tc>
          <w:tcPr>
            <w:tcW w:w="2972" w:type="dxa"/>
          </w:tcPr>
          <w:p w14:paraId="10805059" w14:textId="3B57220D" w:rsidR="00733A8B" w:rsidRPr="000B0C50" w:rsidRDefault="004F6BB3" w:rsidP="000B0C50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>
              <w:rPr>
                <w:b/>
                <w:bCs/>
              </w:rPr>
              <w:t>Definizione degli stanziamenti di cassa</w:t>
            </w:r>
            <w:r w:rsidR="002A7075">
              <w:rPr>
                <w:b/>
                <w:bCs/>
              </w:rPr>
              <w:t xml:space="preserve"> delle spese</w:t>
            </w:r>
          </w:p>
        </w:tc>
        <w:tc>
          <w:tcPr>
            <w:tcW w:w="10206" w:type="dxa"/>
          </w:tcPr>
          <w:p w14:paraId="66C9500E" w14:textId="77777777" w:rsidR="002A7075" w:rsidRDefault="00751F17" w:rsidP="00713DA0">
            <w:r w:rsidRPr="00611BB0">
              <w:t>Richiamo all’esigenza</w:t>
            </w:r>
            <w:r w:rsidR="002A7075">
              <w:t>:</w:t>
            </w:r>
          </w:p>
          <w:p w14:paraId="080011C3" w14:textId="43DFFC05" w:rsidR="00733A8B" w:rsidRPr="002A7075" w:rsidRDefault="00751F17" w:rsidP="002A7075">
            <w:pPr>
              <w:pStyle w:val="Paragrafoelenco"/>
              <w:numPr>
                <w:ilvl w:val="1"/>
                <w:numId w:val="6"/>
              </w:numPr>
              <w:rPr>
                <w:iCs/>
              </w:rPr>
            </w:pPr>
            <w:r w:rsidRPr="00611BB0">
              <w:t xml:space="preserve">di una corretta </w:t>
            </w:r>
            <w:r w:rsidR="00733A8B" w:rsidRPr="00611BB0">
              <w:t>gestione degli stanziamenti di cassa</w:t>
            </w:r>
            <w:r w:rsidR="002A7075">
              <w:t xml:space="preserve"> delle spese</w:t>
            </w:r>
            <w:r w:rsidRPr="00611BB0">
              <w:t>(e della relativa programmazione)</w:t>
            </w:r>
            <w:r w:rsidR="00733A8B" w:rsidRPr="00611BB0">
              <w:t xml:space="preserve"> </w:t>
            </w:r>
            <w:r w:rsidRPr="00611BB0">
              <w:t>di massima derivante dallo schem</w:t>
            </w:r>
            <w:r w:rsidR="00733A8B" w:rsidRPr="00611BB0">
              <w:t>a:</w:t>
            </w:r>
            <w:r w:rsidR="002A7075">
              <w:t xml:space="preserve"> </w:t>
            </w:r>
            <w:r w:rsidR="00733A8B" w:rsidRPr="002A7075">
              <w:rPr>
                <w:iCs/>
              </w:rPr>
              <w:t>stanziamenti di cassa = competenza + residui – FPV</w:t>
            </w:r>
            <w:r w:rsidR="00A34D4C">
              <w:rPr>
                <w:iCs/>
              </w:rPr>
              <w:t xml:space="preserve"> </w:t>
            </w:r>
            <w:r w:rsidR="0086409B" w:rsidRPr="002A7075">
              <w:rPr>
                <w:iCs/>
              </w:rPr>
              <w:t xml:space="preserve"> – </w:t>
            </w:r>
            <w:r w:rsidR="00A34D4C">
              <w:rPr>
                <w:iCs/>
              </w:rPr>
              <w:t xml:space="preserve">accantonamenti vari </w:t>
            </w:r>
            <w:r w:rsidR="0086409B">
              <w:rPr>
                <w:iCs/>
              </w:rPr>
              <w:t>(</w:t>
            </w:r>
            <w:r w:rsidR="00A34D4C">
              <w:rPr>
                <w:iCs/>
              </w:rPr>
              <w:t>diversi dai fondi di riserva</w:t>
            </w:r>
            <w:r w:rsidR="0086409B">
              <w:rPr>
                <w:iCs/>
              </w:rPr>
              <w:t>)</w:t>
            </w:r>
            <w:r w:rsidR="006D3EDF" w:rsidRPr="002A7075">
              <w:rPr>
                <w:iCs/>
              </w:rPr>
              <w:t xml:space="preserve">, tenendo conto delle spese effettuate a fine esercizio,  con  esigibilità distinta dalla scadenza di pagamento </w:t>
            </w:r>
            <w:r w:rsidR="00EB1342">
              <w:rPr>
                <w:iCs/>
              </w:rPr>
              <w:t xml:space="preserve">nei casi previsti dai principi contabili (ad esempio, il </w:t>
            </w:r>
            <w:r w:rsidR="006D3EDF" w:rsidRPr="002A7075">
              <w:rPr>
                <w:iCs/>
              </w:rPr>
              <w:t xml:space="preserve"> paragraf</w:t>
            </w:r>
            <w:r w:rsidR="00A34D4C">
              <w:rPr>
                <w:iCs/>
              </w:rPr>
              <w:t>o</w:t>
            </w:r>
            <w:r w:rsidR="00B337A3">
              <w:rPr>
                <w:iCs/>
              </w:rPr>
              <w:t xml:space="preserve"> 5.2 letter</w:t>
            </w:r>
            <w:r w:rsidR="00A34D4C">
              <w:rPr>
                <w:iCs/>
              </w:rPr>
              <w:t>e</w:t>
            </w:r>
            <w:r w:rsidR="00B337A3">
              <w:rPr>
                <w:iCs/>
              </w:rPr>
              <w:t xml:space="preserve"> b) e g)</w:t>
            </w:r>
            <w:r w:rsidR="006D3EDF" w:rsidRPr="002A7075">
              <w:rPr>
                <w:iCs/>
              </w:rPr>
              <w:t xml:space="preserve"> </w:t>
            </w:r>
            <w:r w:rsidR="00EB1342">
              <w:rPr>
                <w:iCs/>
              </w:rPr>
              <w:t>dell’allegato 4/2 al d.lgs.</w:t>
            </w:r>
            <w:r w:rsidR="0086409B">
              <w:rPr>
                <w:iCs/>
              </w:rPr>
              <w:t xml:space="preserve"> </w:t>
            </w:r>
            <w:r w:rsidR="00EB1342">
              <w:rPr>
                <w:iCs/>
              </w:rPr>
              <w:t>n. 118 del 2011)</w:t>
            </w:r>
            <w:r w:rsidR="00733A8B" w:rsidRPr="002A7075">
              <w:rPr>
                <w:iCs/>
              </w:rPr>
              <w:t>.</w:t>
            </w:r>
          </w:p>
          <w:p w14:paraId="32FF1244" w14:textId="59BDCC49" w:rsidR="002A7075" w:rsidRDefault="002A7075" w:rsidP="002A7075">
            <w:pPr>
              <w:pStyle w:val="Paragrafoelenco"/>
              <w:numPr>
                <w:ilvl w:val="1"/>
                <w:numId w:val="6"/>
              </w:numPr>
            </w:pPr>
            <w:r>
              <w:t xml:space="preserve">della corretta quantificazione degli </w:t>
            </w:r>
            <w:r w:rsidRPr="002A7075">
              <w:t xml:space="preserve">accantonamenti </w:t>
            </w:r>
            <w:r w:rsidR="00A34D4C">
              <w:t>nel</w:t>
            </w:r>
            <w:r>
              <w:t xml:space="preserve"> bilancio </w:t>
            </w:r>
            <w:r w:rsidR="00A34D4C">
              <w:t xml:space="preserve">di previsione </w:t>
            </w:r>
            <w:r w:rsidRPr="002A7075">
              <w:t xml:space="preserve">al </w:t>
            </w:r>
            <w:r>
              <w:t xml:space="preserve">fondo crediti di dubbia esigibilità </w:t>
            </w:r>
            <w:r w:rsidRPr="002A7075">
              <w:t xml:space="preserve"> </w:t>
            </w:r>
            <w:r>
              <w:t xml:space="preserve">(FCDE) </w:t>
            </w:r>
            <w:r w:rsidRPr="002A7075">
              <w:t xml:space="preserve">e al </w:t>
            </w:r>
            <w:r>
              <w:t>Fondo di Garanzia dei debiti commerciali (</w:t>
            </w:r>
            <w:r w:rsidRPr="002A7075">
              <w:t>FGDC</w:t>
            </w:r>
            <w:r>
              <w:t>).</w:t>
            </w:r>
          </w:p>
        </w:tc>
        <w:tc>
          <w:tcPr>
            <w:tcW w:w="1559" w:type="dxa"/>
          </w:tcPr>
          <w:p w14:paraId="7E6C89C0" w14:textId="77777777" w:rsidR="00733A8B" w:rsidRDefault="004F6BB3" w:rsidP="004E4341">
            <w:r>
              <w:t>-</w:t>
            </w:r>
          </w:p>
        </w:tc>
      </w:tr>
      <w:tr w:rsidR="004F6BB3" w14:paraId="48E4B56A" w14:textId="77777777" w:rsidTr="0086409B">
        <w:tc>
          <w:tcPr>
            <w:tcW w:w="2972" w:type="dxa"/>
          </w:tcPr>
          <w:p w14:paraId="45D93CE8" w14:textId="77777777" w:rsidR="004F6BB3" w:rsidRDefault="004F6BB3" w:rsidP="000B0C50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>
              <w:rPr>
                <w:b/>
                <w:bCs/>
              </w:rPr>
              <w:t>Impegno</w:t>
            </w:r>
          </w:p>
        </w:tc>
        <w:tc>
          <w:tcPr>
            <w:tcW w:w="10206" w:type="dxa"/>
          </w:tcPr>
          <w:p w14:paraId="3A025CDC" w14:textId="1B9EFED5" w:rsidR="004F6BB3" w:rsidRDefault="004F6BB3" w:rsidP="00CB149C">
            <w:r>
              <w:t xml:space="preserve">Con il provvedimento di </w:t>
            </w:r>
            <w:r w:rsidRPr="00713DA0">
              <w:t>impegno</w:t>
            </w:r>
            <w:r>
              <w:t>,</w:t>
            </w:r>
            <w:r w:rsidRPr="00713DA0">
              <w:t xml:space="preserve"> </w:t>
            </w:r>
            <w:r>
              <w:t>ai sensi del</w:t>
            </w:r>
            <w:r w:rsidR="00686443">
              <w:t xml:space="preserve">l’art. 183 </w:t>
            </w:r>
            <w:r w:rsidR="00A34D4C">
              <w:t>del</w:t>
            </w:r>
            <w:r w:rsidR="000D2204">
              <w:t xml:space="preserve"> </w:t>
            </w:r>
            <w:r>
              <w:t xml:space="preserve">D. Lgs. n. 267/2000, </w:t>
            </w:r>
            <w:r w:rsidRPr="00713DA0">
              <w:t xml:space="preserve">a seguito di un’obbligazione giuridicamente perfezionata, </w:t>
            </w:r>
            <w:r w:rsidRPr="00713DA0">
              <w:rPr>
                <w:i/>
                <w:iCs/>
              </w:rPr>
              <w:t xml:space="preserve">viene </w:t>
            </w:r>
            <w:r w:rsidRPr="00337584">
              <w:rPr>
                <w:i/>
                <w:iCs/>
              </w:rPr>
              <w:t>determinata la somma da pagare</w:t>
            </w:r>
            <w:r w:rsidRPr="00713DA0">
              <w:rPr>
                <w:i/>
                <w:iCs/>
              </w:rPr>
              <w:t>, è determinato il soggetto creditore, viene indicata la ragione e la relativa scadenza dell’obbligazione e viene costituito il vincolo sulle previsioni di bilancio, nell’ambito della disponibilità finanziaria accertata</w:t>
            </w:r>
            <w:r>
              <w:t>.</w:t>
            </w:r>
          </w:p>
          <w:p w14:paraId="64DBBFB9" w14:textId="02D4152D" w:rsidR="00D55646" w:rsidRDefault="00396298" w:rsidP="0086409B">
            <w:pPr>
              <w:ind w:left="360"/>
            </w:pPr>
            <w:r w:rsidRPr="0086409B">
              <w:rPr>
                <w:b/>
                <w:bCs/>
              </w:rPr>
              <w:t>2.1</w:t>
            </w:r>
            <w:r>
              <w:t xml:space="preserve"> </w:t>
            </w:r>
            <w:r w:rsidR="00CB149C">
              <w:t>P</w:t>
            </w:r>
            <w:r w:rsidR="00CB149C" w:rsidRPr="00CB149C">
              <w:t xml:space="preserve">rima di procedere all’assunzione dell’impegno di spesa </w:t>
            </w:r>
            <w:r w:rsidR="00D55646">
              <w:t>l</w:t>
            </w:r>
            <w:r w:rsidR="001C7A19">
              <w:t>’Ente v</w:t>
            </w:r>
            <w:r w:rsidR="004F6BB3">
              <w:t>erifica</w:t>
            </w:r>
            <w:r w:rsidR="00D55646">
              <w:t xml:space="preserve"> la coerenza dello stanziamento di cassa e </w:t>
            </w:r>
            <w:r w:rsidR="00CB149C">
              <w:t xml:space="preserve"> l</w:t>
            </w:r>
            <w:r w:rsidR="00D55646">
              <w:t xml:space="preserve">’effettiva capacità di pagare la spesa, utilizzando il </w:t>
            </w:r>
            <w:r w:rsidR="00CB149C">
              <w:t>programma dei pagamenti ad esso correlato</w:t>
            </w:r>
            <w:r w:rsidR="00D55646">
              <w:t xml:space="preserve">, </w:t>
            </w:r>
            <w:r w:rsidR="00CB149C">
              <w:t>di cui all’Allegato 2</w:t>
            </w:r>
            <w:r w:rsidR="00D55646">
              <w:t>.</w:t>
            </w:r>
          </w:p>
          <w:p w14:paraId="6D08AB32" w14:textId="43037F22" w:rsidR="00D55646" w:rsidRDefault="00D55646" w:rsidP="0086409B">
            <w:pPr>
              <w:pStyle w:val="Paragrafoelenco"/>
              <w:numPr>
                <w:ilvl w:val="1"/>
                <w:numId w:val="3"/>
              </w:numPr>
            </w:pPr>
            <w:r>
              <w:t xml:space="preserve">L’Ente comunica al fornitore </w:t>
            </w:r>
            <w:r w:rsidR="00686443" w:rsidRPr="00686443">
              <w:t>le informazioni relative all'impegno</w:t>
            </w:r>
            <w:r w:rsidR="00686443">
              <w:t xml:space="preserve">, al Codice identificativo di Gara (CIG) o al Codice unico di Progetto (CUP), da riportare in fattura tranne i casi di esclusione previsti dalla legge. Comunica </w:t>
            </w:r>
            <w:r w:rsidR="00686443" w:rsidRPr="0086409B">
              <w:t xml:space="preserve">altresì il codice </w:t>
            </w:r>
            <w:r w:rsidR="00A34D4C" w:rsidRPr="0086409B">
              <w:t>univoco dell’u</w:t>
            </w:r>
            <w:r w:rsidR="00686443" w:rsidRPr="0086409B">
              <w:t>ffic</w:t>
            </w:r>
            <w:r w:rsidR="00A34D4C" w:rsidRPr="0086409B">
              <w:t>i</w:t>
            </w:r>
            <w:r w:rsidR="00686443" w:rsidRPr="0086409B">
              <w:t>o cui la</w:t>
            </w:r>
            <w:r w:rsidR="00686443">
              <w:t xml:space="preserve"> fattura deve essere indirizzata</w:t>
            </w:r>
            <w:r w:rsidR="00A34D4C">
              <w:t xml:space="preserve"> (codice </w:t>
            </w:r>
            <w:r w:rsidR="0086409B">
              <w:t>I</w:t>
            </w:r>
            <w:r w:rsidR="00A34D4C">
              <w:t>PA)</w:t>
            </w:r>
            <w:r w:rsidR="00686443">
              <w:t>.</w:t>
            </w:r>
            <w:r w:rsidR="00686443" w:rsidRPr="00686443">
              <w:t xml:space="preserve"> </w:t>
            </w:r>
            <w:r w:rsidR="00686443">
              <w:t xml:space="preserve">Nel caso di </w:t>
            </w:r>
            <w:r w:rsidR="00686443" w:rsidRPr="00686443">
              <w:t xml:space="preserve"> somministrazioni,  forniture e prestazioni professionali </w:t>
            </w:r>
            <w:r w:rsidR="00686443">
              <w:t xml:space="preserve">la comunicazione </w:t>
            </w:r>
            <w:r w:rsidR="00686443" w:rsidRPr="00686443">
              <w:t>è effettuata contestualmente all’ordinazione della prestazione</w:t>
            </w:r>
            <w:r w:rsidR="00686443">
              <w:t>,</w:t>
            </w:r>
            <w:r w:rsidR="00686443" w:rsidRPr="00686443">
              <w:t xml:space="preserve"> con l’avvertenza che la successiva fattura deve essere completata con gli estremi della suddetta comunicazione</w:t>
            </w:r>
            <w:r w:rsidR="00686443">
              <w:t xml:space="preserve"> (art. 191 </w:t>
            </w:r>
            <w:r w:rsidR="0086409B">
              <w:t xml:space="preserve">del </w:t>
            </w:r>
            <w:r w:rsidR="00A34D4C" w:rsidRPr="00A34D4C">
              <w:t>D. Lgs. n. 267/2000</w:t>
            </w:r>
            <w:r w:rsidR="00686443">
              <w:t>)</w:t>
            </w:r>
            <w:r w:rsidR="00686443" w:rsidRPr="00686443">
              <w:t>.</w:t>
            </w:r>
          </w:p>
          <w:p w14:paraId="7EEB1250" w14:textId="43A1570D" w:rsidR="00396298" w:rsidRDefault="008A491C" w:rsidP="0086409B">
            <w:pPr>
              <w:pStyle w:val="Paragrafoelenco"/>
              <w:numPr>
                <w:ilvl w:val="1"/>
                <w:numId w:val="3"/>
              </w:numPr>
            </w:pPr>
            <w:r>
              <w:t xml:space="preserve"> </w:t>
            </w:r>
            <w:r w:rsidR="00A34D4C">
              <w:t>L’Ente a</w:t>
            </w:r>
            <w:r>
              <w:t xml:space="preserve">cquisisce dal fornitore </w:t>
            </w:r>
            <w:r w:rsidR="00A34D4C">
              <w:t xml:space="preserve">la documentazione </w:t>
            </w:r>
            <w:r w:rsidR="00807029">
              <w:t xml:space="preserve">richiesta dalle legge </w:t>
            </w:r>
            <w:r w:rsidR="0086409B">
              <w:t>ai fini del</w:t>
            </w:r>
            <w:r w:rsidR="00807029">
              <w:t xml:space="preserve"> regolare affidamento della spesa, </w:t>
            </w:r>
            <w:r w:rsidR="006C63D9">
              <w:t>quale quella</w:t>
            </w:r>
            <w:r w:rsidR="00807029">
              <w:t xml:space="preserve"> </w:t>
            </w:r>
            <w:r w:rsidR="00807029" w:rsidRPr="00807029">
              <w:t xml:space="preserve">inerente </w:t>
            </w:r>
            <w:r w:rsidR="00807029">
              <w:t>al</w:t>
            </w:r>
            <w:r w:rsidR="00A34D4C">
              <w:t>la tracciabilità</w:t>
            </w:r>
            <w:r w:rsidR="00807029">
              <w:t xml:space="preserve"> finanziaria</w:t>
            </w:r>
            <w:r w:rsidR="00A34D4C">
              <w:t xml:space="preserve"> dell’operazione</w:t>
            </w:r>
            <w:r w:rsidR="00807029">
              <w:t xml:space="preserve">, </w:t>
            </w:r>
            <w:r w:rsidR="006C63D9">
              <w:t>unitamente al</w:t>
            </w:r>
            <w:r w:rsidR="00A34D4C">
              <w:t xml:space="preserve">le informazioni necessarie </w:t>
            </w:r>
            <w:r w:rsidR="00A34D4C" w:rsidRPr="00807029">
              <w:t xml:space="preserve">per effettuare </w:t>
            </w:r>
            <w:r w:rsidR="00807029" w:rsidRPr="00807029">
              <w:t xml:space="preserve">il pagamento </w:t>
            </w:r>
            <w:r w:rsidRPr="00807029">
              <w:t xml:space="preserve"> (ad esempio </w:t>
            </w:r>
            <w:r w:rsidR="00807029" w:rsidRPr="0086409B">
              <w:t>l’</w:t>
            </w:r>
            <w:r w:rsidRPr="00807029">
              <w:t>IBAN</w:t>
            </w:r>
            <w:r w:rsidR="00A34D4C" w:rsidRPr="00807029">
              <w:t xml:space="preserve"> del conto corrente dedicato)</w:t>
            </w:r>
            <w:r w:rsidR="00807029" w:rsidRPr="00807029">
              <w:t>.</w:t>
            </w:r>
            <w:r w:rsidR="00A34D4C" w:rsidRPr="00807029">
              <w:t xml:space="preserve"> </w:t>
            </w:r>
            <w:r w:rsidR="00807029" w:rsidRPr="00807029">
              <w:t xml:space="preserve">La modulistica deve contenere </w:t>
            </w:r>
            <w:r w:rsidR="00807029" w:rsidRPr="00807029">
              <w:lastRenderedPageBreak/>
              <w:t>l’obbligo dell’operatore economico di comunicare tempestivamente</w:t>
            </w:r>
            <w:r w:rsidR="00807029" w:rsidRPr="009D6A70">
              <w:t xml:space="preserve"> qualsiasi variazione in merito.</w:t>
            </w:r>
          </w:p>
        </w:tc>
        <w:tc>
          <w:tcPr>
            <w:tcW w:w="1559" w:type="dxa"/>
          </w:tcPr>
          <w:p w14:paraId="1B2A82B2" w14:textId="77777777" w:rsidR="004F6BB3" w:rsidRDefault="004F6BB3" w:rsidP="004E4341">
            <w:r>
              <w:lastRenderedPageBreak/>
              <w:t>-</w:t>
            </w:r>
          </w:p>
        </w:tc>
      </w:tr>
      <w:tr w:rsidR="004F6BB3" w14:paraId="4D988DFC" w14:textId="77777777" w:rsidTr="0086409B">
        <w:tc>
          <w:tcPr>
            <w:tcW w:w="2972" w:type="dxa"/>
          </w:tcPr>
          <w:p w14:paraId="091079AE" w14:textId="77777777" w:rsidR="004F6BB3" w:rsidRDefault="004F6BB3" w:rsidP="000B0C50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>
              <w:rPr>
                <w:b/>
                <w:bCs/>
              </w:rPr>
              <w:t>Verifica</w:t>
            </w:r>
            <w:r w:rsidR="001770A8">
              <w:rPr>
                <w:b/>
                <w:bCs/>
              </w:rPr>
              <w:t xml:space="preserve"> della</w:t>
            </w:r>
            <w:r>
              <w:rPr>
                <w:b/>
                <w:bCs/>
              </w:rPr>
              <w:t xml:space="preserve"> regolarità contributiva</w:t>
            </w:r>
          </w:p>
        </w:tc>
        <w:tc>
          <w:tcPr>
            <w:tcW w:w="10206" w:type="dxa"/>
          </w:tcPr>
          <w:p w14:paraId="402CDC67" w14:textId="4107426D" w:rsidR="00566BEF" w:rsidRDefault="0086409B" w:rsidP="0086409B">
            <w:r>
              <w:t>Per</w:t>
            </w:r>
            <w:r w:rsidR="00807029">
              <w:t xml:space="preserve"> favorire la </w:t>
            </w:r>
            <w:r w:rsidR="00E26F46">
              <w:t>v</w:t>
            </w:r>
            <w:r w:rsidR="001C7A19">
              <w:t xml:space="preserve">erifica </w:t>
            </w:r>
            <w:r w:rsidR="000454E3">
              <w:t>del</w:t>
            </w:r>
            <w:r w:rsidR="001C7A19">
              <w:t>la regolarità contributiva</w:t>
            </w:r>
            <w:r w:rsidR="00E26F46">
              <w:t xml:space="preserve"> </w:t>
            </w:r>
            <w:r w:rsidR="00807029" w:rsidRPr="00807029">
              <w:t xml:space="preserve">è costantemente monitorata </w:t>
            </w:r>
            <w:r w:rsidR="00E26F46">
              <w:t xml:space="preserve">la scadenza del DURC </w:t>
            </w:r>
            <w:r w:rsidR="00F6183C">
              <w:t>richiesto</w:t>
            </w:r>
            <w:r w:rsidR="00807029">
              <w:t xml:space="preserve"> al fornitore</w:t>
            </w:r>
            <w:r w:rsidR="00F6183C">
              <w:t xml:space="preserve"> in occasione dell’affidamento</w:t>
            </w:r>
            <w:r w:rsidR="004220E0">
              <w:t>,</w:t>
            </w:r>
            <w:r w:rsidR="00F6183C">
              <w:t xml:space="preserve"> </w:t>
            </w:r>
            <w:r w:rsidR="00E26F46">
              <w:t>al fine di disporre di un valido documento in tempo utile a garantire il tempestivo pagamento delle fatture</w:t>
            </w:r>
            <w:r w:rsidR="00F6183C">
              <w:t xml:space="preserve"> anche anticipatamente rispetto all’esecuzione della prestazione</w:t>
            </w:r>
            <w:r w:rsidR="00E26F46">
              <w:t>. Ad esempio, per</w:t>
            </w:r>
            <w:r w:rsidR="00E26F46" w:rsidRPr="00E26F46">
              <w:t xml:space="preserve"> i contratti a carattere continuativo con fatturazione periodica</w:t>
            </w:r>
            <w:r w:rsidR="00E26F46">
              <w:t xml:space="preserve"> </w:t>
            </w:r>
            <w:r w:rsidR="00E26F46" w:rsidRPr="00E26F46">
              <w:t>le richieste del DURC sono organizzate in modo tale da disporre costantemente di un DURC attivo</w:t>
            </w:r>
            <w:r w:rsidR="00AD6640">
              <w:t xml:space="preserve">. </w:t>
            </w:r>
          </w:p>
        </w:tc>
        <w:tc>
          <w:tcPr>
            <w:tcW w:w="1559" w:type="dxa"/>
          </w:tcPr>
          <w:p w14:paraId="14103A48" w14:textId="77777777" w:rsidR="004F6BB3" w:rsidRDefault="001770A8" w:rsidP="004E4341">
            <w:r>
              <w:t>-</w:t>
            </w:r>
          </w:p>
        </w:tc>
      </w:tr>
      <w:tr w:rsidR="00733A8B" w14:paraId="082CE496" w14:textId="77777777" w:rsidTr="0086409B">
        <w:tc>
          <w:tcPr>
            <w:tcW w:w="2972" w:type="dxa"/>
          </w:tcPr>
          <w:p w14:paraId="708BCE5E" w14:textId="77777777" w:rsidR="00B755A0" w:rsidRDefault="00733A8B" w:rsidP="000B0C50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 w:rsidRPr="000B0C50">
              <w:rPr>
                <w:b/>
                <w:bCs/>
              </w:rPr>
              <w:t>Ricezione</w:t>
            </w:r>
            <w:r>
              <w:rPr>
                <w:b/>
                <w:bCs/>
              </w:rPr>
              <w:t xml:space="preserve"> /</w:t>
            </w:r>
            <w:r w:rsidR="00B755A0">
              <w:rPr>
                <w:b/>
                <w:bCs/>
              </w:rPr>
              <w:t xml:space="preserve"> Smistamento / </w:t>
            </w:r>
          </w:p>
          <w:p w14:paraId="3E78D37A" w14:textId="77777777" w:rsidR="00733A8B" w:rsidRPr="000B0C50" w:rsidRDefault="00B755A0" w:rsidP="00B755A0">
            <w:pPr>
              <w:pStyle w:val="Paragrafoelenco"/>
              <w:ind w:left="320"/>
              <w:rPr>
                <w:b/>
                <w:bCs/>
              </w:rPr>
            </w:pPr>
            <w:r>
              <w:rPr>
                <w:b/>
                <w:bCs/>
              </w:rPr>
              <w:t>Accettazione / Registrazione</w:t>
            </w:r>
          </w:p>
        </w:tc>
        <w:tc>
          <w:tcPr>
            <w:tcW w:w="10206" w:type="dxa"/>
          </w:tcPr>
          <w:p w14:paraId="3C55B561" w14:textId="77777777" w:rsidR="00733A8B" w:rsidRPr="008A491C" w:rsidRDefault="00733A8B" w:rsidP="004E4341">
            <w:r>
              <w:t xml:space="preserve">La fattura elettronica, </w:t>
            </w:r>
            <w:r w:rsidRPr="008A491C">
              <w:t>transitata dal Sistema di Interscambio - SDI, viene ricevuta dall’Ente attraverso un’apposita casella PEC oppure su software gestionale integrato con il SDI.</w:t>
            </w:r>
          </w:p>
          <w:p w14:paraId="34AC8FEE" w14:textId="1478E770" w:rsidR="00733A8B" w:rsidRDefault="00733A8B" w:rsidP="002E2396">
            <w:r w:rsidRPr="008A491C">
              <w:t xml:space="preserve">La </w:t>
            </w:r>
            <w:r w:rsidR="00103A9E">
              <w:t xml:space="preserve">fattura è oggetto di una prima </w:t>
            </w:r>
            <w:r w:rsidRPr="008A491C">
              <w:t xml:space="preserve">verifica, </w:t>
            </w:r>
            <w:r w:rsidR="00103A9E">
              <w:t xml:space="preserve">esclusivamente </w:t>
            </w:r>
            <w:r w:rsidRPr="008A491C">
              <w:t>finalizzata</w:t>
            </w:r>
            <w:r w:rsidR="00103A9E">
              <w:t xml:space="preserve"> a decidere se accettare o rifiutare la fattura</w:t>
            </w:r>
            <w:r w:rsidR="00F6183C">
              <w:t xml:space="preserve"> </w:t>
            </w:r>
            <w:r w:rsidR="0086409B">
              <w:t>medesima, con</w:t>
            </w:r>
            <w:r w:rsidR="00103A9E">
              <w:t xml:space="preserve"> riferimento alle </w:t>
            </w:r>
            <w:r>
              <w:t>motivazioni di legittimo respingimento fra quelle definite da</w:t>
            </w:r>
            <w:r w:rsidRPr="00E32AC6">
              <w:t>l decreto</w:t>
            </w:r>
            <w:r>
              <w:t xml:space="preserve"> MEF 24 Agosto 2020, n. 132 (</w:t>
            </w:r>
            <w:r w:rsidR="00103A9E" w:rsidRPr="00103A9E">
              <w:t xml:space="preserve">se  la fattura elettronica è riferita ad una operazione posta in essere in favore dell’Ente, la </w:t>
            </w:r>
            <w:r w:rsidR="0086409B">
              <w:t xml:space="preserve">presenza dei codici </w:t>
            </w:r>
            <w:r>
              <w:t>CIG e CUP</w:t>
            </w:r>
            <w:r w:rsidR="0086409B">
              <w:t xml:space="preserve"> e l’identificativo del </w:t>
            </w:r>
            <w:r>
              <w:t>provvedimento di impegno, …)</w:t>
            </w:r>
            <w:r w:rsidRPr="00E32AC6">
              <w:t>.</w:t>
            </w:r>
            <w:r w:rsidR="009F6BA3">
              <w:t xml:space="preserve">   </w:t>
            </w:r>
          </w:p>
          <w:p w14:paraId="5B1A7BDF" w14:textId="3C69FABE" w:rsidR="00733A8B" w:rsidRDefault="00733A8B" w:rsidP="002E2396">
            <w:r>
              <w:t>Il rifiuto d</w:t>
            </w:r>
            <w:r w:rsidR="000454E3">
              <w:t>ell</w:t>
            </w:r>
            <w:r>
              <w:t>a fattura chiude il processo.</w:t>
            </w:r>
          </w:p>
          <w:p w14:paraId="220EEEC2" w14:textId="7EDA9619" w:rsidR="00733A8B" w:rsidRDefault="009F6BA3" w:rsidP="002E2396">
            <w:r>
              <w:t>Al fine di garantire il rispetto dei termini di pagamento, l’Ente adotta tutte le possibili iniziativ</w:t>
            </w:r>
            <w:r w:rsidR="00F6183C">
              <w:t>e</w:t>
            </w:r>
            <w:r>
              <w:t xml:space="preserve"> per evitare che la fattura sia accettata per decorrenza dei termini (</w:t>
            </w:r>
            <w:r w:rsidR="00733A8B">
              <w:t>15 giorni senza rifiuto, le fatture si intendono accettate</w:t>
            </w:r>
            <w:r>
              <w:t>)</w:t>
            </w:r>
            <w:r w:rsidR="00733A8B">
              <w:t>.</w:t>
            </w:r>
          </w:p>
          <w:p w14:paraId="31EA4CAA" w14:textId="22BD37D1" w:rsidR="00733A8B" w:rsidRDefault="00733A8B" w:rsidP="004E4341">
            <w:r>
              <w:t xml:space="preserve">Le fatture sono rese </w:t>
            </w:r>
            <w:r w:rsidR="009F6BA3">
              <w:t xml:space="preserve">immediatamente </w:t>
            </w:r>
            <w:r>
              <w:t xml:space="preserve">consultabili </w:t>
            </w:r>
            <w:r w:rsidR="009F6BA3">
              <w:t>a</w:t>
            </w:r>
            <w:r>
              <w:t xml:space="preserve">ll’Ufficio ordinante mediante un’attività di smistamento o, alternativamente, mediante l’accesso </w:t>
            </w:r>
            <w:r w:rsidR="000A6DF4">
              <w:t xml:space="preserve">dell’Ufficio ordinante </w:t>
            </w:r>
            <w:r>
              <w:t>ad un cruscotto del software gestionale.</w:t>
            </w:r>
            <w:r w:rsidR="009F6BA3">
              <w:t xml:space="preserve"> La fattura destinata ad un altro ufficio dell’</w:t>
            </w:r>
            <w:r w:rsidR="00F6183C">
              <w:t>E</w:t>
            </w:r>
            <w:r w:rsidR="009F6BA3">
              <w:t>nte è immediatamente resa disponibile a tale ufficio (non è oggetto di rifiuto).</w:t>
            </w:r>
          </w:p>
          <w:p w14:paraId="672FE7AC" w14:textId="77777777" w:rsidR="00733A8B" w:rsidRDefault="00733A8B" w:rsidP="004E4341">
            <w:r>
              <w:t>L’Ente può abilitare più Uffici ordinanti a ricevere, direttamente e automaticamente, le fatture elettroniche effettuando in IPA l’associazione del servizio di fatturazione a più di una UO</w:t>
            </w:r>
            <w:r w:rsidR="001C7A19">
              <w:t xml:space="preserve"> </w:t>
            </w:r>
            <w:r>
              <w:t>contraddistinta da un codice univoco.</w:t>
            </w:r>
          </w:p>
          <w:p w14:paraId="048BD47A" w14:textId="77777777" w:rsidR="008A3632" w:rsidRDefault="008A3632" w:rsidP="004E4341"/>
        </w:tc>
        <w:tc>
          <w:tcPr>
            <w:tcW w:w="1559" w:type="dxa"/>
          </w:tcPr>
          <w:p w14:paraId="03630113" w14:textId="36B56B02" w:rsidR="00733A8B" w:rsidRDefault="009F6BA3" w:rsidP="004E4341">
            <w:r>
              <w:t xml:space="preserve">2-3 </w:t>
            </w:r>
            <w:r w:rsidR="00733A8B">
              <w:t xml:space="preserve"> gg</w:t>
            </w:r>
          </w:p>
        </w:tc>
      </w:tr>
      <w:tr w:rsidR="00733A8B" w14:paraId="68C25D10" w14:textId="77777777" w:rsidTr="0086409B">
        <w:tc>
          <w:tcPr>
            <w:tcW w:w="2972" w:type="dxa"/>
          </w:tcPr>
          <w:p w14:paraId="3D4A0830" w14:textId="77777777" w:rsidR="00733A8B" w:rsidRPr="000B0C50" w:rsidRDefault="00733A8B" w:rsidP="00981250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>
              <w:rPr>
                <w:b/>
                <w:bCs/>
              </w:rPr>
              <w:t>Predisposizione atti di liquidazione</w:t>
            </w:r>
          </w:p>
        </w:tc>
        <w:tc>
          <w:tcPr>
            <w:tcW w:w="10206" w:type="dxa"/>
          </w:tcPr>
          <w:p w14:paraId="0BAF05CC" w14:textId="434BD574" w:rsidR="009F6BA3" w:rsidRDefault="00663FA0" w:rsidP="00981250">
            <w:r w:rsidRPr="0086409B">
              <w:rPr>
                <w:i/>
                <w:iCs/>
              </w:rPr>
              <w:t>La liquidazione è effettuata ai sensi dell’art. 184, comma 2, del</w:t>
            </w:r>
            <w:r w:rsidR="000D2204" w:rsidRPr="000D2204">
              <w:rPr>
                <w:i/>
                <w:iCs/>
              </w:rPr>
              <w:t xml:space="preserve"> D. Lgs. n. 267/2000</w:t>
            </w:r>
            <w:r w:rsidRPr="0086409B">
              <w:rPr>
                <w:i/>
                <w:iCs/>
              </w:rPr>
              <w:t>, a seguito del riscontro operato sulla regolarità della fornitura o della prestazione e sulla rispondenza della stessa ai requisiti quantitativi e qualitativi, ai termini ed alle condizioni pattuite</w:t>
            </w:r>
            <w:r w:rsidR="000D2204">
              <w:rPr>
                <w:i/>
                <w:iCs/>
              </w:rPr>
              <w:t xml:space="preserve"> (vedi principio contabile</w:t>
            </w:r>
            <w:r w:rsidRPr="0086409B">
              <w:rPr>
                <w:i/>
                <w:iCs/>
              </w:rPr>
              <w:t>.</w:t>
            </w:r>
          </w:p>
          <w:p w14:paraId="5C28EE08" w14:textId="0002EF9D" w:rsidR="00733A8B" w:rsidRDefault="00733A8B" w:rsidP="00981250">
            <w:r w:rsidRPr="00841171">
              <w:t xml:space="preserve">La procedura </w:t>
            </w:r>
            <w:r w:rsidR="00561532">
              <w:t>di predisposizione degli atti di liquidazione è</w:t>
            </w:r>
            <w:r w:rsidRPr="00841171">
              <w:t xml:space="preserve"> </w:t>
            </w:r>
            <w:r>
              <w:t xml:space="preserve">tipicamente </w:t>
            </w:r>
            <w:r w:rsidRPr="00841171">
              <w:t>gestita con modalit</w:t>
            </w:r>
            <w:r>
              <w:t xml:space="preserve">à </w:t>
            </w:r>
            <w:r w:rsidRPr="00841171">
              <w:t xml:space="preserve">informatiche. </w:t>
            </w:r>
            <w:r w:rsidRPr="004E4341">
              <w:t>L’atto di liquidazione deve indicare il termine di scadenza del pagamento.</w:t>
            </w:r>
          </w:p>
          <w:p w14:paraId="29408585" w14:textId="77777777" w:rsidR="00733A8B" w:rsidRDefault="00733A8B" w:rsidP="00981250">
            <w:r>
              <w:lastRenderedPageBreak/>
              <w:t>Sono preliminari alla redazione dell’atto di liquidazione, tra le altre, le verifiche riguardanti la regolare consegna della merce / esecuzione del servizio e, per le fatture che ne sono soggette:</w:t>
            </w:r>
          </w:p>
          <w:p w14:paraId="2B4F0646" w14:textId="77777777" w:rsidR="00733A8B" w:rsidRDefault="00733A8B" w:rsidP="00981250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>
              <w:t>la regolarità contributiva (DURC/Certificato cassa professionale/DURC di congruità)</w:t>
            </w:r>
            <w:r w:rsidR="00716F49">
              <w:t>;</w:t>
            </w:r>
          </w:p>
          <w:p w14:paraId="11B085CC" w14:textId="77777777" w:rsidR="00716F49" w:rsidRDefault="00716F49" w:rsidP="00981250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 w:rsidRPr="00841171">
              <w:t>la regolarit</w:t>
            </w:r>
            <w:r>
              <w:t>à</w:t>
            </w:r>
            <w:r w:rsidRPr="00841171">
              <w:t xml:space="preserve"> fiscale del fornitore (art. 48-bis, D.P.R. n. 602/1973)</w:t>
            </w:r>
            <w:r>
              <w:t>;</w:t>
            </w:r>
          </w:p>
          <w:p w14:paraId="3C0998D5" w14:textId="77777777" w:rsidR="00733A8B" w:rsidRDefault="00733A8B" w:rsidP="00981250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 w:rsidRPr="00841171">
              <w:t xml:space="preserve">gli obblighi </w:t>
            </w:r>
            <w:r>
              <w:t>di</w:t>
            </w:r>
            <w:r w:rsidRPr="00841171">
              <w:t xml:space="preserve"> tracciabilit</w:t>
            </w:r>
            <w:r>
              <w:t>à</w:t>
            </w:r>
            <w:r w:rsidRPr="00841171">
              <w:t xml:space="preserve"> dei flussi finanziari (art. 3, Legge n.136/2010)</w:t>
            </w:r>
            <w:r>
              <w:t xml:space="preserve"> ivi inclusa l’indicazione della motivazione dell’esclusione  per le spese che non richiedono l’assunzione di un CIG.</w:t>
            </w:r>
          </w:p>
          <w:p w14:paraId="57390648" w14:textId="3853334F" w:rsidR="000D3754" w:rsidRDefault="000D3754" w:rsidP="000D3754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 w:rsidRPr="000454E3">
              <w:t>gli obblighi inerenti Amministrazione trasparente (art</w:t>
            </w:r>
            <w:r w:rsidR="000454E3">
              <w:t>t.</w:t>
            </w:r>
            <w:r w:rsidRPr="000454E3">
              <w:t xml:space="preserve"> 15, 26 e 37, D.lgs. n.33/2013)</w:t>
            </w:r>
            <w:r w:rsidR="00042711" w:rsidRPr="000454E3">
              <w:t xml:space="preserve"> dandone atto nel provvedimento di liquidazione</w:t>
            </w:r>
            <w:r w:rsidRPr="000454E3">
              <w:t>.</w:t>
            </w:r>
            <w:r w:rsidRPr="00841171">
              <w:t xml:space="preserve"> </w:t>
            </w:r>
          </w:p>
          <w:p w14:paraId="41B2EF5E" w14:textId="77777777" w:rsidR="00733A8B" w:rsidRDefault="00733A8B" w:rsidP="00981250">
            <w:r>
              <w:t xml:space="preserve">Se verifica OK </w:t>
            </w:r>
            <w:r>
              <w:sym w:font="Wingdings" w:char="F0E0"/>
            </w:r>
            <w:r>
              <w:t xml:space="preserve"> atto di liquidazione</w:t>
            </w:r>
            <w:r w:rsidR="00D8392C">
              <w:t>.</w:t>
            </w:r>
          </w:p>
          <w:p w14:paraId="0895C29E" w14:textId="77777777" w:rsidR="00733A8B" w:rsidRDefault="00733A8B" w:rsidP="00981250">
            <w:r>
              <w:t xml:space="preserve">Se verifica KO </w:t>
            </w:r>
            <w:r>
              <w:sym w:font="Wingdings" w:char="F0E0"/>
            </w:r>
            <w:r>
              <w:t xml:space="preserve"> attivazione richiesta di nota di credito e/o attivazione registrazione sospensione</w:t>
            </w:r>
            <w:r w:rsidR="00D8392C">
              <w:t>.</w:t>
            </w:r>
          </w:p>
        </w:tc>
        <w:tc>
          <w:tcPr>
            <w:tcW w:w="1559" w:type="dxa"/>
          </w:tcPr>
          <w:p w14:paraId="7457D63A" w14:textId="77777777" w:rsidR="00733A8B" w:rsidRDefault="00733A8B" w:rsidP="00981250">
            <w:r>
              <w:lastRenderedPageBreak/>
              <w:t>10 – 1</w:t>
            </w:r>
            <w:r w:rsidR="00716F49">
              <w:t>6</w:t>
            </w:r>
            <w:r>
              <w:t xml:space="preserve"> gg</w:t>
            </w:r>
          </w:p>
        </w:tc>
      </w:tr>
      <w:tr w:rsidR="00733A8B" w14:paraId="073DCA60" w14:textId="77777777" w:rsidTr="0086409B">
        <w:tc>
          <w:tcPr>
            <w:tcW w:w="2972" w:type="dxa"/>
          </w:tcPr>
          <w:p w14:paraId="03792188" w14:textId="77777777" w:rsidR="00733A8B" w:rsidRDefault="00733A8B" w:rsidP="00981250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>
              <w:rPr>
                <w:b/>
                <w:bCs/>
              </w:rPr>
              <w:t xml:space="preserve">Controllo </w:t>
            </w:r>
            <w:r w:rsidR="001770A8">
              <w:rPr>
                <w:b/>
                <w:bCs/>
              </w:rPr>
              <w:t xml:space="preserve">degli </w:t>
            </w:r>
            <w:r>
              <w:rPr>
                <w:b/>
                <w:bCs/>
              </w:rPr>
              <w:t xml:space="preserve">atti di liquidazione ed emissione </w:t>
            </w:r>
            <w:r w:rsidR="001770A8">
              <w:rPr>
                <w:b/>
                <w:bCs/>
              </w:rPr>
              <w:t xml:space="preserve">degli </w:t>
            </w:r>
            <w:r>
              <w:rPr>
                <w:b/>
                <w:bCs/>
              </w:rPr>
              <w:t>ordinativi informatici</w:t>
            </w:r>
          </w:p>
        </w:tc>
        <w:tc>
          <w:tcPr>
            <w:tcW w:w="10206" w:type="dxa"/>
          </w:tcPr>
          <w:p w14:paraId="59081567" w14:textId="18733037" w:rsidR="00733A8B" w:rsidRDefault="00D8392C" w:rsidP="003F259E">
            <w:r>
              <w:t>Sono effettuati</w:t>
            </w:r>
            <w:r w:rsidR="00733A8B" w:rsidRPr="00841171">
              <w:t xml:space="preserve"> </w:t>
            </w:r>
            <w:r w:rsidR="00733A8B">
              <w:t>i</w:t>
            </w:r>
            <w:r w:rsidR="00733A8B" w:rsidRPr="00841171">
              <w:t xml:space="preserve"> controll</w:t>
            </w:r>
            <w:r w:rsidR="00733A8B">
              <w:t>i</w:t>
            </w:r>
            <w:r w:rsidR="00733A8B" w:rsidRPr="00841171">
              <w:t xml:space="preserve"> sulla regolarit</w:t>
            </w:r>
            <w:r w:rsidR="00733A8B">
              <w:t>à</w:t>
            </w:r>
            <w:r w:rsidR="00733A8B" w:rsidRPr="00841171">
              <w:t xml:space="preserve"> amministrativa, contabile</w:t>
            </w:r>
            <w:r w:rsidR="00807029">
              <w:t>, contributiva</w:t>
            </w:r>
            <w:r w:rsidR="00733A8B" w:rsidRPr="00841171">
              <w:t xml:space="preserve"> e fiscale degli atti di liquidazione emessi. </w:t>
            </w:r>
          </w:p>
          <w:p w14:paraId="2629F6B2" w14:textId="77777777" w:rsidR="00733A8B" w:rsidRDefault="004A0329" w:rsidP="003F259E">
            <w:r>
              <w:t>I controlli possono riguardare</w:t>
            </w:r>
            <w:r w:rsidR="00733A8B" w:rsidRPr="00841171">
              <w:t xml:space="preserve"> anche, per le fatture che ne sono soggette:</w:t>
            </w:r>
          </w:p>
          <w:p w14:paraId="32E9E22E" w14:textId="77777777" w:rsidR="00733A8B" w:rsidRDefault="00733A8B" w:rsidP="003F259E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 w:rsidRPr="00841171">
              <w:t>gli obblighi inerenti la tracciabilit</w:t>
            </w:r>
            <w:r>
              <w:t>à</w:t>
            </w:r>
            <w:r w:rsidRPr="00841171">
              <w:t xml:space="preserve"> dei flussi finanziari (art. 3, Legge n.136/2010);</w:t>
            </w:r>
          </w:p>
          <w:p w14:paraId="5196DE8B" w14:textId="117FB209" w:rsidR="00733A8B" w:rsidRDefault="000454E3" w:rsidP="000454E3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>
              <w:t>i</w:t>
            </w:r>
            <w:r w:rsidR="00042711" w:rsidRPr="000454E3">
              <w:t xml:space="preserve">l rispetto da parte della direzione competente </w:t>
            </w:r>
            <w:r>
              <w:t>de</w:t>
            </w:r>
            <w:r w:rsidR="00733A8B" w:rsidRPr="000454E3">
              <w:t>gli obblighi inerenti Amministrazione trasparente (art</w:t>
            </w:r>
            <w:r>
              <w:t>t.</w:t>
            </w:r>
            <w:r w:rsidR="000D3754" w:rsidRPr="000454E3">
              <w:t xml:space="preserve"> 15,</w:t>
            </w:r>
            <w:r w:rsidR="00733A8B" w:rsidRPr="000454E3">
              <w:t xml:space="preserve"> 26</w:t>
            </w:r>
            <w:r w:rsidR="000D3754" w:rsidRPr="000454E3">
              <w:t xml:space="preserve"> e 37</w:t>
            </w:r>
            <w:r w:rsidR="00733A8B" w:rsidRPr="000454E3">
              <w:t>, D.lgs. n.33/2013);</w:t>
            </w:r>
            <w:r w:rsidR="00733A8B" w:rsidRPr="00841171">
              <w:t xml:space="preserve"> </w:t>
            </w:r>
          </w:p>
          <w:p w14:paraId="23E4608D" w14:textId="6ADDCE6C" w:rsidR="00733A8B" w:rsidRPr="00841171" w:rsidRDefault="00733A8B" w:rsidP="003F259E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 w:rsidRPr="00841171">
              <w:t>la regolarit</w:t>
            </w:r>
            <w:r>
              <w:t>à</w:t>
            </w:r>
            <w:r w:rsidRPr="00841171">
              <w:t xml:space="preserve"> contributiva; </w:t>
            </w:r>
          </w:p>
          <w:p w14:paraId="0B58C3D6" w14:textId="77777777" w:rsidR="00733A8B" w:rsidRDefault="00733A8B" w:rsidP="003F259E">
            <w:pPr>
              <w:pStyle w:val="Paragrafoelenco"/>
              <w:numPr>
                <w:ilvl w:val="0"/>
                <w:numId w:val="2"/>
              </w:numPr>
              <w:ind w:left="285" w:hanging="284"/>
            </w:pPr>
            <w:r w:rsidRPr="00841171">
              <w:t>la regolarit</w:t>
            </w:r>
            <w:r>
              <w:t>à</w:t>
            </w:r>
            <w:r w:rsidRPr="00841171">
              <w:t xml:space="preserve"> fiscale del fornitore (art. 48-bis, D.P.R. n. 602/1973).</w:t>
            </w:r>
          </w:p>
          <w:p w14:paraId="675DAE93" w14:textId="77777777" w:rsidR="00026C99" w:rsidRDefault="00026C99" w:rsidP="003F259E">
            <w:r>
              <w:t xml:space="preserve">Se controllo OK </w:t>
            </w:r>
            <w:r>
              <w:sym w:font="Wingdings" w:char="F0E0"/>
            </w:r>
            <w:r>
              <w:t xml:space="preserve"> </w:t>
            </w:r>
            <w:r w:rsidR="00D8392C">
              <w:t>è autorizzata la liquidazione e si provvede all’emissione degli ordinativi informatici – OPI.</w:t>
            </w:r>
          </w:p>
          <w:p w14:paraId="0FFF2256" w14:textId="77777777" w:rsidR="00733A8B" w:rsidRDefault="00D8392C" w:rsidP="003F259E">
            <w:r>
              <w:t xml:space="preserve">Se controllo KO </w:t>
            </w:r>
            <w:r>
              <w:sym w:font="Wingdings" w:char="F0E0"/>
            </w:r>
            <w:r>
              <w:t xml:space="preserve"> si ritorna all’attività 5 per l’emissione degli atti di liquidazione corretti</w:t>
            </w:r>
            <w:r w:rsidR="00733A8B" w:rsidRPr="00841171">
              <w:t>.</w:t>
            </w:r>
          </w:p>
        </w:tc>
        <w:tc>
          <w:tcPr>
            <w:tcW w:w="1559" w:type="dxa"/>
          </w:tcPr>
          <w:p w14:paraId="49D4E40E" w14:textId="77777777" w:rsidR="00733A8B" w:rsidRDefault="00733A8B" w:rsidP="00981250">
            <w:r>
              <w:t>6 - 9 gg</w:t>
            </w:r>
          </w:p>
        </w:tc>
      </w:tr>
      <w:tr w:rsidR="00733A8B" w14:paraId="21D3C450" w14:textId="77777777" w:rsidTr="0086409B">
        <w:tc>
          <w:tcPr>
            <w:tcW w:w="2972" w:type="dxa"/>
          </w:tcPr>
          <w:p w14:paraId="68897DD1" w14:textId="77777777" w:rsidR="00733A8B" w:rsidRDefault="00733A8B" w:rsidP="00733A8B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 w:rsidRPr="000B0C50">
              <w:rPr>
                <w:b/>
                <w:bCs/>
              </w:rPr>
              <w:t xml:space="preserve">Trasmissione </w:t>
            </w:r>
            <w:r w:rsidR="001770A8">
              <w:rPr>
                <w:b/>
                <w:bCs/>
              </w:rPr>
              <w:t xml:space="preserve">degli </w:t>
            </w:r>
            <w:r>
              <w:rPr>
                <w:b/>
                <w:bCs/>
              </w:rPr>
              <w:t xml:space="preserve">ordinativi </w:t>
            </w:r>
            <w:r w:rsidRPr="000B0C50">
              <w:rPr>
                <w:b/>
                <w:bCs/>
              </w:rPr>
              <w:t xml:space="preserve">al tesoriere </w:t>
            </w:r>
          </w:p>
        </w:tc>
        <w:tc>
          <w:tcPr>
            <w:tcW w:w="10206" w:type="dxa"/>
          </w:tcPr>
          <w:p w14:paraId="7DACBCEC" w14:textId="77777777" w:rsidR="00733A8B" w:rsidRPr="00841171" w:rsidRDefault="00AF77DD" w:rsidP="00733A8B">
            <w:r>
              <w:t>Gli OPI</w:t>
            </w:r>
            <w:r w:rsidR="00733A8B">
              <w:t xml:space="preserve"> </w:t>
            </w:r>
            <w:r w:rsidR="00733A8B" w:rsidRPr="00841171">
              <w:t xml:space="preserve">vengono trasmessi al </w:t>
            </w:r>
            <w:r w:rsidR="00070687">
              <w:t>T</w:t>
            </w:r>
            <w:r w:rsidR="00733A8B" w:rsidRPr="00841171">
              <w:t>esoriere</w:t>
            </w:r>
            <w:r w:rsidR="00733A8B">
              <w:t xml:space="preserve"> per il tramite di SIOPE+</w:t>
            </w:r>
            <w:r w:rsidR="00733A8B" w:rsidRPr="00841171">
              <w:t xml:space="preserve">. </w:t>
            </w:r>
          </w:p>
        </w:tc>
        <w:tc>
          <w:tcPr>
            <w:tcW w:w="1559" w:type="dxa"/>
          </w:tcPr>
          <w:p w14:paraId="66D8AF8E" w14:textId="77777777" w:rsidR="00733A8B" w:rsidRDefault="00733A8B" w:rsidP="00733A8B">
            <w:r>
              <w:t>2 gg</w:t>
            </w:r>
          </w:p>
        </w:tc>
      </w:tr>
      <w:tr w:rsidR="00733A8B" w14:paraId="6A9F7227" w14:textId="77777777" w:rsidTr="0086409B">
        <w:tc>
          <w:tcPr>
            <w:tcW w:w="2972" w:type="dxa"/>
          </w:tcPr>
          <w:p w14:paraId="541EEFDA" w14:textId="77777777" w:rsidR="00733A8B" w:rsidRPr="00134996" w:rsidRDefault="00733A8B" w:rsidP="00134996">
            <w:pPr>
              <w:pStyle w:val="Paragrafoelenco"/>
              <w:numPr>
                <w:ilvl w:val="0"/>
                <w:numId w:val="3"/>
              </w:numPr>
              <w:ind w:left="320"/>
              <w:rPr>
                <w:b/>
                <w:bCs/>
              </w:rPr>
            </w:pPr>
            <w:r w:rsidRPr="000B0C50">
              <w:rPr>
                <w:b/>
                <w:bCs/>
              </w:rPr>
              <w:t>Pagamento</w:t>
            </w:r>
          </w:p>
        </w:tc>
        <w:tc>
          <w:tcPr>
            <w:tcW w:w="10206" w:type="dxa"/>
          </w:tcPr>
          <w:p w14:paraId="41E46047" w14:textId="77777777" w:rsidR="00733A8B" w:rsidRDefault="00733A8B" w:rsidP="00733A8B">
            <w:r w:rsidRPr="00841171">
              <w:t xml:space="preserve">Il </w:t>
            </w:r>
            <w:r>
              <w:t>T</w:t>
            </w:r>
            <w:r w:rsidRPr="00841171">
              <w:t>esoriere provvede ad eseguire i pagamenti</w:t>
            </w:r>
            <w:r>
              <w:t>.</w:t>
            </w:r>
          </w:p>
          <w:p w14:paraId="714E54B6" w14:textId="77777777" w:rsidR="00AF77DD" w:rsidRDefault="00AF77DD" w:rsidP="00733A8B">
            <w:r>
              <w:t>Ai sensi della PSD2</w:t>
            </w:r>
            <w:r w:rsidR="00BB4320">
              <w:t>,</w:t>
            </w:r>
            <w:r w:rsidRPr="00704478">
              <w:t xml:space="preserve"> </w:t>
            </w:r>
            <w:r>
              <w:t>i</w:t>
            </w:r>
            <w:r w:rsidRPr="00704478">
              <w:t xml:space="preserve"> </w:t>
            </w:r>
            <w:r>
              <w:t>m</w:t>
            </w:r>
            <w:r w:rsidRPr="00704478">
              <w:t>andati sono ammessi al pagamento entro la fine della giornata operativa successiva a quella della ricezione dell’ordine</w:t>
            </w:r>
            <w:r>
              <w:t>.</w:t>
            </w:r>
          </w:p>
        </w:tc>
        <w:tc>
          <w:tcPr>
            <w:tcW w:w="1559" w:type="dxa"/>
          </w:tcPr>
          <w:p w14:paraId="6514D0E9" w14:textId="77777777" w:rsidR="00733A8B" w:rsidRDefault="00733A8B" w:rsidP="00733A8B"/>
        </w:tc>
      </w:tr>
    </w:tbl>
    <w:p w14:paraId="01EB3783" w14:textId="77777777" w:rsidR="00367D9E" w:rsidRDefault="00367D9E"/>
    <w:p w14:paraId="37BD3AF0" w14:textId="77777777" w:rsidR="00AF77DD" w:rsidRDefault="00AF77DD">
      <w:r>
        <w:t>(*)</w:t>
      </w:r>
      <w:r w:rsidR="00A41EB0">
        <w:t xml:space="preserve"> </w:t>
      </w:r>
      <w:r w:rsidR="000872F2">
        <w:t xml:space="preserve">La somma dei tempi delle attività da </w:t>
      </w:r>
      <w:r w:rsidR="00BB4320">
        <w:t>4</w:t>
      </w:r>
      <w:r w:rsidR="000872F2">
        <w:t xml:space="preserve"> a </w:t>
      </w:r>
      <w:r w:rsidR="00BB4320">
        <w:t>7</w:t>
      </w:r>
      <w:r w:rsidR="000872F2">
        <w:t xml:space="preserve"> deve essere inferiore a 28gg.</w:t>
      </w:r>
    </w:p>
    <w:sectPr w:rsidR="00AF77DD" w:rsidSect="00144E3C">
      <w:footerReference w:type="even" r:id="rId8"/>
      <w:footerReference w:type="default" r:id="rId9"/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42780" w14:textId="77777777" w:rsidR="00E702A3" w:rsidRDefault="00E702A3" w:rsidP="00F71F7C">
      <w:r>
        <w:separator/>
      </w:r>
    </w:p>
  </w:endnote>
  <w:endnote w:type="continuationSeparator" w:id="0">
    <w:p w14:paraId="10A1F454" w14:textId="77777777" w:rsidR="00E702A3" w:rsidRDefault="00E702A3" w:rsidP="00F7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46275914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FD329FD" w14:textId="77777777" w:rsidR="00F71F7C" w:rsidRDefault="00D053B1" w:rsidP="009A218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F71F7C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C5128F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2FED3D5" w14:textId="77777777" w:rsidR="00F71F7C" w:rsidRDefault="00F71F7C" w:rsidP="00F71F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203765302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9CA627F" w14:textId="45937497" w:rsidR="00F71F7C" w:rsidRDefault="00D053B1" w:rsidP="009A218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 w:rsidR="00F71F7C"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F6408B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4317FBA" w14:textId="77777777" w:rsidR="00F71F7C" w:rsidRDefault="00F71F7C" w:rsidP="00F71F7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61E9E" w14:textId="77777777" w:rsidR="00E702A3" w:rsidRDefault="00E702A3" w:rsidP="00F71F7C">
      <w:r>
        <w:separator/>
      </w:r>
    </w:p>
  </w:footnote>
  <w:footnote w:type="continuationSeparator" w:id="0">
    <w:p w14:paraId="2E136279" w14:textId="77777777" w:rsidR="00E702A3" w:rsidRDefault="00E702A3" w:rsidP="00F71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3170E"/>
    <w:multiLevelType w:val="hybridMultilevel"/>
    <w:tmpl w:val="F4341004"/>
    <w:lvl w:ilvl="0" w:tplc="EF4483B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5914"/>
    <w:multiLevelType w:val="hybridMultilevel"/>
    <w:tmpl w:val="65EA3058"/>
    <w:lvl w:ilvl="0" w:tplc="5E5EC8E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F1FBB"/>
    <w:multiLevelType w:val="multilevel"/>
    <w:tmpl w:val="EEE0A9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40" w:hanging="3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59571EF9"/>
    <w:multiLevelType w:val="multilevel"/>
    <w:tmpl w:val="DA42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487E1F"/>
    <w:multiLevelType w:val="hybridMultilevel"/>
    <w:tmpl w:val="800CE134"/>
    <w:lvl w:ilvl="0" w:tplc="F3A254D2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85DDB"/>
    <w:multiLevelType w:val="multilevel"/>
    <w:tmpl w:val="ED5ECFD4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71"/>
    <w:rsid w:val="00026C99"/>
    <w:rsid w:val="000324AF"/>
    <w:rsid w:val="00042711"/>
    <w:rsid w:val="000454E3"/>
    <w:rsid w:val="00070687"/>
    <w:rsid w:val="000872F2"/>
    <w:rsid w:val="000A6DF4"/>
    <w:rsid w:val="000B0C50"/>
    <w:rsid w:val="000B3E9B"/>
    <w:rsid w:val="000C5ED1"/>
    <w:rsid w:val="000D2204"/>
    <w:rsid w:val="000D3754"/>
    <w:rsid w:val="000F5E4F"/>
    <w:rsid w:val="00103A9E"/>
    <w:rsid w:val="00120D9E"/>
    <w:rsid w:val="0012618E"/>
    <w:rsid w:val="00134996"/>
    <w:rsid w:val="00144E3C"/>
    <w:rsid w:val="00151705"/>
    <w:rsid w:val="00160316"/>
    <w:rsid w:val="001770A8"/>
    <w:rsid w:val="0018592E"/>
    <w:rsid w:val="001C7A19"/>
    <w:rsid w:val="001D7B00"/>
    <w:rsid w:val="001D7B54"/>
    <w:rsid w:val="001F3BA4"/>
    <w:rsid w:val="002621A1"/>
    <w:rsid w:val="0026246F"/>
    <w:rsid w:val="00270D5F"/>
    <w:rsid w:val="002A5A2B"/>
    <w:rsid w:val="002A7075"/>
    <w:rsid w:val="002D63A3"/>
    <w:rsid w:val="002E0C67"/>
    <w:rsid w:val="002E2396"/>
    <w:rsid w:val="002E56E3"/>
    <w:rsid w:val="002F09F6"/>
    <w:rsid w:val="00326EB8"/>
    <w:rsid w:val="00337584"/>
    <w:rsid w:val="00342BCB"/>
    <w:rsid w:val="0035257C"/>
    <w:rsid w:val="00367D9E"/>
    <w:rsid w:val="003957E4"/>
    <w:rsid w:val="00396298"/>
    <w:rsid w:val="003B6906"/>
    <w:rsid w:val="003E5507"/>
    <w:rsid w:val="003F259E"/>
    <w:rsid w:val="00405446"/>
    <w:rsid w:val="004220E0"/>
    <w:rsid w:val="0043284A"/>
    <w:rsid w:val="00471B40"/>
    <w:rsid w:val="00474D21"/>
    <w:rsid w:val="00496D05"/>
    <w:rsid w:val="004A0329"/>
    <w:rsid w:val="004D2C66"/>
    <w:rsid w:val="004E0E04"/>
    <w:rsid w:val="004E22B0"/>
    <w:rsid w:val="004E4341"/>
    <w:rsid w:val="004F6BB3"/>
    <w:rsid w:val="0050053C"/>
    <w:rsid w:val="00524253"/>
    <w:rsid w:val="00524DFC"/>
    <w:rsid w:val="00552868"/>
    <w:rsid w:val="00561532"/>
    <w:rsid w:val="00566BEF"/>
    <w:rsid w:val="00574E3C"/>
    <w:rsid w:val="005B7D43"/>
    <w:rsid w:val="005C0139"/>
    <w:rsid w:val="005F5990"/>
    <w:rsid w:val="00607F74"/>
    <w:rsid w:val="00611BB0"/>
    <w:rsid w:val="006154B9"/>
    <w:rsid w:val="00637C18"/>
    <w:rsid w:val="006577CE"/>
    <w:rsid w:val="00663FA0"/>
    <w:rsid w:val="006735BE"/>
    <w:rsid w:val="00686443"/>
    <w:rsid w:val="006A0D84"/>
    <w:rsid w:val="006A77D2"/>
    <w:rsid w:val="006C63D9"/>
    <w:rsid w:val="006D3EDF"/>
    <w:rsid w:val="006E7815"/>
    <w:rsid w:val="006F348A"/>
    <w:rsid w:val="00704478"/>
    <w:rsid w:val="00713DA0"/>
    <w:rsid w:val="00716F49"/>
    <w:rsid w:val="00722B07"/>
    <w:rsid w:val="00733A8B"/>
    <w:rsid w:val="007436AA"/>
    <w:rsid w:val="00744503"/>
    <w:rsid w:val="00751F17"/>
    <w:rsid w:val="00772404"/>
    <w:rsid w:val="00776EEA"/>
    <w:rsid w:val="007B38BE"/>
    <w:rsid w:val="00807029"/>
    <w:rsid w:val="00825084"/>
    <w:rsid w:val="00841171"/>
    <w:rsid w:val="00855CBC"/>
    <w:rsid w:val="008569C7"/>
    <w:rsid w:val="0086227B"/>
    <w:rsid w:val="0086409B"/>
    <w:rsid w:val="00886FBD"/>
    <w:rsid w:val="00891C50"/>
    <w:rsid w:val="008A3632"/>
    <w:rsid w:val="008A491C"/>
    <w:rsid w:val="008B0424"/>
    <w:rsid w:val="008C62C1"/>
    <w:rsid w:val="008D1F38"/>
    <w:rsid w:val="0093014E"/>
    <w:rsid w:val="00946AD6"/>
    <w:rsid w:val="00955EBF"/>
    <w:rsid w:val="009629B5"/>
    <w:rsid w:val="0097022C"/>
    <w:rsid w:val="00976DFD"/>
    <w:rsid w:val="00981250"/>
    <w:rsid w:val="00990BC6"/>
    <w:rsid w:val="009A63BA"/>
    <w:rsid w:val="009F6BA3"/>
    <w:rsid w:val="00A035EF"/>
    <w:rsid w:val="00A34D4C"/>
    <w:rsid w:val="00A41EB0"/>
    <w:rsid w:val="00A46B49"/>
    <w:rsid w:val="00A82EE6"/>
    <w:rsid w:val="00AA66EB"/>
    <w:rsid w:val="00AB0463"/>
    <w:rsid w:val="00AD03B6"/>
    <w:rsid w:val="00AD5540"/>
    <w:rsid w:val="00AD6640"/>
    <w:rsid w:val="00AF77DD"/>
    <w:rsid w:val="00B071D3"/>
    <w:rsid w:val="00B2000D"/>
    <w:rsid w:val="00B253BF"/>
    <w:rsid w:val="00B337A3"/>
    <w:rsid w:val="00B46A7C"/>
    <w:rsid w:val="00B55D7E"/>
    <w:rsid w:val="00B6494F"/>
    <w:rsid w:val="00B723BF"/>
    <w:rsid w:val="00B755A0"/>
    <w:rsid w:val="00BA0CFE"/>
    <w:rsid w:val="00BB4320"/>
    <w:rsid w:val="00BD49E5"/>
    <w:rsid w:val="00BE4CB0"/>
    <w:rsid w:val="00BF21EC"/>
    <w:rsid w:val="00C04EC1"/>
    <w:rsid w:val="00C06021"/>
    <w:rsid w:val="00C2222F"/>
    <w:rsid w:val="00C23752"/>
    <w:rsid w:val="00C24CC5"/>
    <w:rsid w:val="00C5128F"/>
    <w:rsid w:val="00C5503B"/>
    <w:rsid w:val="00C749B9"/>
    <w:rsid w:val="00CB0B19"/>
    <w:rsid w:val="00CB149C"/>
    <w:rsid w:val="00CE7C54"/>
    <w:rsid w:val="00D053B1"/>
    <w:rsid w:val="00D16A3E"/>
    <w:rsid w:val="00D17DC8"/>
    <w:rsid w:val="00D307A8"/>
    <w:rsid w:val="00D461F9"/>
    <w:rsid w:val="00D55646"/>
    <w:rsid w:val="00D62D7F"/>
    <w:rsid w:val="00D7655D"/>
    <w:rsid w:val="00D8392C"/>
    <w:rsid w:val="00D93363"/>
    <w:rsid w:val="00DB1612"/>
    <w:rsid w:val="00E0495F"/>
    <w:rsid w:val="00E24467"/>
    <w:rsid w:val="00E25E88"/>
    <w:rsid w:val="00E26F46"/>
    <w:rsid w:val="00E32AC6"/>
    <w:rsid w:val="00E55033"/>
    <w:rsid w:val="00E702A3"/>
    <w:rsid w:val="00E821E6"/>
    <w:rsid w:val="00EB1342"/>
    <w:rsid w:val="00EB4E23"/>
    <w:rsid w:val="00F21E30"/>
    <w:rsid w:val="00F316A0"/>
    <w:rsid w:val="00F6183C"/>
    <w:rsid w:val="00F6408B"/>
    <w:rsid w:val="00F67913"/>
    <w:rsid w:val="00F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2C40"/>
  <w15:docId w15:val="{4EF952E1-666B-4332-BA9A-6249E90C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53B1"/>
  </w:style>
  <w:style w:type="paragraph" w:styleId="Titolo1">
    <w:name w:val="heading 1"/>
    <w:basedOn w:val="Normale"/>
    <w:next w:val="Normale"/>
    <w:link w:val="Titolo1Carattere"/>
    <w:uiPriority w:val="9"/>
    <w:qFormat/>
    <w:rsid w:val="008411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11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11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11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11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11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11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11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11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11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11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11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117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117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117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117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117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117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11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11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117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11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11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117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117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117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11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117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1171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8411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4117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71F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1F7C"/>
  </w:style>
  <w:style w:type="paragraph" w:styleId="Pidipagina">
    <w:name w:val="footer"/>
    <w:basedOn w:val="Normale"/>
    <w:link w:val="PidipaginaCarattere"/>
    <w:uiPriority w:val="99"/>
    <w:unhideWhenUsed/>
    <w:rsid w:val="00F71F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1F7C"/>
  </w:style>
  <w:style w:type="character" w:styleId="Numeropagina">
    <w:name w:val="page number"/>
    <w:basedOn w:val="Carpredefinitoparagrafo"/>
    <w:uiPriority w:val="99"/>
    <w:semiHidden/>
    <w:unhideWhenUsed/>
    <w:rsid w:val="00F71F7C"/>
  </w:style>
  <w:style w:type="paragraph" w:styleId="Revisione">
    <w:name w:val="Revision"/>
    <w:hidden/>
    <w:uiPriority w:val="99"/>
    <w:semiHidden/>
    <w:rsid w:val="00337584"/>
  </w:style>
  <w:style w:type="character" w:styleId="Rimandocommento">
    <w:name w:val="annotation reference"/>
    <w:basedOn w:val="Carpredefinitoparagrafo"/>
    <w:uiPriority w:val="99"/>
    <w:semiHidden/>
    <w:unhideWhenUsed/>
    <w:rsid w:val="008A36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A36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A36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36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36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1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8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9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28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4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5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8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4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2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6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2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3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5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6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2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1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4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1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1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7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4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8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46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73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4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0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129BC9-78BB-435B-AD96-E999C8A6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Gianpiero Zaffi Borgetti - Fondazione IFEL</dc:creator>
  <cp:keywords/>
  <dc:description/>
  <cp:lastModifiedBy>Account Microsoft</cp:lastModifiedBy>
  <cp:revision>2</cp:revision>
  <cp:lastPrinted>2024-05-03T14:30:00Z</cp:lastPrinted>
  <dcterms:created xsi:type="dcterms:W3CDTF">2025-01-20T21:18:00Z</dcterms:created>
  <dcterms:modified xsi:type="dcterms:W3CDTF">2025-01-20T21:18:00Z</dcterms:modified>
</cp:coreProperties>
</file>