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BEE51" w14:textId="77777777" w:rsidR="00847B1A" w:rsidRDefault="00847B1A" w:rsidP="00847B1A">
      <w:pPr>
        <w:spacing w:after="0"/>
        <w:jc w:val="center"/>
        <w:rPr>
          <w:rFonts w:ascii="Times New Roman" w:hAnsi="Times New Roman" w:cs="Times New Roman"/>
          <w:b/>
          <w:bCs/>
          <w:sz w:val="28"/>
          <w:szCs w:val="28"/>
          <w:highlight w:val="yellow"/>
        </w:rPr>
      </w:pPr>
      <w:r w:rsidRPr="00305856">
        <w:rPr>
          <w:rFonts w:ascii="Times New Roman" w:hAnsi="Times New Roman" w:cs="Times New Roman"/>
          <w:b/>
          <w:bCs/>
          <w:sz w:val="28"/>
          <w:szCs w:val="28"/>
          <w:highlight w:val="yellow"/>
        </w:rPr>
        <w:t xml:space="preserve">CONCESSIONE DI BENI </w:t>
      </w:r>
    </w:p>
    <w:p w14:paraId="07C293A3" w14:textId="77777777" w:rsidR="00847B1A" w:rsidRDefault="00847B1A" w:rsidP="00847B1A">
      <w:pPr>
        <w:spacing w:after="0"/>
        <w:jc w:val="center"/>
        <w:rPr>
          <w:rFonts w:ascii="Times New Roman" w:hAnsi="Times New Roman" w:cs="Times New Roman"/>
          <w:b/>
          <w:bCs/>
          <w:sz w:val="28"/>
          <w:szCs w:val="28"/>
          <w:highlight w:val="yellow"/>
        </w:rPr>
      </w:pPr>
      <w:r w:rsidRPr="00305856">
        <w:rPr>
          <w:rFonts w:ascii="Times New Roman" w:hAnsi="Times New Roman" w:cs="Times New Roman"/>
          <w:b/>
          <w:bCs/>
          <w:sz w:val="28"/>
          <w:szCs w:val="28"/>
          <w:highlight w:val="yellow"/>
        </w:rPr>
        <w:t xml:space="preserve">CONCESSIONE DI SERVIZI – </w:t>
      </w:r>
    </w:p>
    <w:p w14:paraId="4EA69195" w14:textId="77777777" w:rsidR="00847B1A" w:rsidRPr="00305856" w:rsidRDefault="00847B1A" w:rsidP="00847B1A">
      <w:pPr>
        <w:spacing w:after="0"/>
        <w:jc w:val="center"/>
        <w:rPr>
          <w:rFonts w:ascii="Times New Roman" w:hAnsi="Times New Roman" w:cs="Times New Roman"/>
          <w:b/>
          <w:bCs/>
          <w:sz w:val="28"/>
          <w:szCs w:val="28"/>
        </w:rPr>
      </w:pPr>
      <w:r w:rsidRPr="00305856">
        <w:rPr>
          <w:rFonts w:ascii="Times New Roman" w:hAnsi="Times New Roman" w:cs="Times New Roman"/>
          <w:b/>
          <w:bCs/>
          <w:sz w:val="28"/>
          <w:szCs w:val="28"/>
          <w:highlight w:val="yellow"/>
        </w:rPr>
        <w:t>APPALTO DI SERVIZI –</w:t>
      </w:r>
    </w:p>
    <w:p w14:paraId="672BD1E6"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p>
    <w:p w14:paraId="17205D6B"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r>
        <w:rPr>
          <w:rStyle w:val="Enfasigrassetto"/>
          <w:rFonts w:eastAsiaTheme="majorEastAsia"/>
          <w:color w:val="212529"/>
        </w:rPr>
        <w:t>Tar Lazio, Roma, Sez. II, 14.03.2025, n. 5373</w:t>
      </w:r>
    </w:p>
    <w:p w14:paraId="4FAC84D2" w14:textId="77777777" w:rsidR="00847B1A" w:rsidRPr="005B6204" w:rsidRDefault="00847B1A" w:rsidP="00847B1A">
      <w:pPr>
        <w:pStyle w:val="NormaleWeb"/>
        <w:shd w:val="clear" w:color="auto" w:fill="FFFFFF"/>
        <w:spacing w:before="0" w:beforeAutospacing="0" w:after="0" w:afterAutospacing="0"/>
        <w:jc w:val="both"/>
        <w:rPr>
          <w:rStyle w:val="Enfasigrassetto"/>
          <w:rFonts w:eastAsiaTheme="majorEastAsia"/>
          <w:i/>
          <w:iCs/>
          <w:color w:val="212529"/>
        </w:rPr>
      </w:pPr>
      <w:r w:rsidRPr="005B6204">
        <w:rPr>
          <w:rStyle w:val="Enfasigrassetto"/>
          <w:rFonts w:eastAsiaTheme="majorEastAsia"/>
          <w:i/>
          <w:iCs/>
          <w:color w:val="212529"/>
        </w:rPr>
        <w:t>Sulla natura delle concessioni di beni di contratti attivi e, quindi, esclusi</w:t>
      </w:r>
    </w:p>
    <w:p w14:paraId="287059E9" w14:textId="77777777" w:rsidR="00847B1A" w:rsidRPr="005B6204" w:rsidRDefault="00847B1A" w:rsidP="00847B1A">
      <w:pPr>
        <w:pStyle w:val="NormaleWeb"/>
        <w:shd w:val="clear" w:color="auto" w:fill="FFFFFF"/>
        <w:spacing w:before="0" w:beforeAutospacing="0" w:after="0" w:afterAutospacing="0"/>
        <w:jc w:val="both"/>
        <w:rPr>
          <w:rStyle w:val="Enfasigrassetto"/>
          <w:rFonts w:eastAsiaTheme="majorEastAsia"/>
          <w:b w:val="0"/>
          <w:bCs w:val="0"/>
          <w:color w:val="212529"/>
          <w:u w:val="single"/>
        </w:rPr>
      </w:pPr>
      <w:r w:rsidRPr="005B6204">
        <w:rPr>
          <w:rStyle w:val="Enfasigrassetto"/>
          <w:rFonts w:eastAsiaTheme="majorEastAsia"/>
          <w:b w:val="0"/>
          <w:bCs w:val="0"/>
          <w:color w:val="212529"/>
          <w:u w:val="single"/>
        </w:rPr>
        <w:t xml:space="preserve">Violazione delle norme sui contratti esclusi: Roma Capitale ha qualificato la gara come contratto escluso dal </w:t>
      </w:r>
      <w:proofErr w:type="spellStart"/>
      <w:r w:rsidRPr="005B6204">
        <w:rPr>
          <w:rStyle w:val="Enfasigrassetto"/>
          <w:rFonts w:eastAsiaTheme="majorEastAsia"/>
          <w:b w:val="0"/>
          <w:bCs w:val="0"/>
          <w:color w:val="212529"/>
          <w:u w:val="single"/>
        </w:rPr>
        <w:t>D.Lgs.</w:t>
      </w:r>
      <w:proofErr w:type="spellEnd"/>
      <w:r w:rsidRPr="005B6204">
        <w:rPr>
          <w:rStyle w:val="Enfasigrassetto"/>
          <w:rFonts w:eastAsiaTheme="majorEastAsia"/>
          <w:b w:val="0"/>
          <w:bCs w:val="0"/>
          <w:color w:val="212529"/>
          <w:u w:val="single"/>
        </w:rPr>
        <w:t xml:space="preserve"> 36/2023, sottraendola alle regole ordinarie di trasparenza e pubblicità degli atti di gara. Secondo la ricorrente, il valore economico della concessione e la natura del servizio avrebbero invece richiesto l’applicazione del Codice degli Appalti​.</w:t>
      </w:r>
    </w:p>
    <w:p w14:paraId="79360F84" w14:textId="77777777" w:rsidR="00847B1A" w:rsidRPr="005B6204" w:rsidRDefault="00847B1A" w:rsidP="00847B1A">
      <w:pPr>
        <w:pStyle w:val="NormaleWeb"/>
        <w:shd w:val="clear" w:color="auto" w:fill="FFFFFF"/>
        <w:spacing w:before="0" w:beforeAutospacing="0" w:after="0" w:afterAutospacing="0"/>
        <w:jc w:val="both"/>
        <w:rPr>
          <w:rFonts w:eastAsiaTheme="majorEastAsia"/>
          <w:color w:val="212529"/>
        </w:rPr>
      </w:pPr>
      <w:r w:rsidRPr="005B6204">
        <w:rPr>
          <w:rFonts w:eastAsiaTheme="majorEastAsia"/>
          <w:color w:val="212529"/>
        </w:rPr>
        <w:t xml:space="preserve">Il Collegio rileva che la procedura che viene in rilievo deve essere qualificata in termini di </w:t>
      </w:r>
      <w:r w:rsidRPr="005B6204">
        <w:rPr>
          <w:rFonts w:eastAsiaTheme="majorEastAsia"/>
          <w:b/>
          <w:bCs/>
          <w:color w:val="212529"/>
        </w:rPr>
        <w:t>concessione di beni pubblici</w:t>
      </w:r>
      <w:r w:rsidRPr="005B6204">
        <w:rPr>
          <w:rFonts w:eastAsiaTheme="majorEastAsia"/>
          <w:color w:val="212529"/>
        </w:rPr>
        <w:t xml:space="preserve">, a nulla rilevando, contrariamente a quanto sostenuto dalla ricorrente, la previsione di </w:t>
      </w:r>
      <w:r w:rsidRPr="005B6204">
        <w:rPr>
          <w:rFonts w:eastAsiaTheme="majorEastAsia"/>
          <w:b/>
          <w:bCs/>
          <w:color w:val="212529"/>
        </w:rPr>
        <w:t>obblighi ulteriori in capo al gestore</w:t>
      </w:r>
      <w:r w:rsidRPr="005B6204">
        <w:rPr>
          <w:rFonts w:eastAsiaTheme="majorEastAsia"/>
          <w:color w:val="212529"/>
        </w:rPr>
        <w:t xml:space="preserve"> che, come chiaramente emerge dalla documentazione in atti, sono s</w:t>
      </w:r>
      <w:r w:rsidRPr="005B6204">
        <w:rPr>
          <w:rFonts w:eastAsiaTheme="majorEastAsia"/>
          <w:b/>
          <w:bCs/>
          <w:color w:val="212529"/>
        </w:rPr>
        <w:t>trettamente correlati alla gestione del bene e alla relativa manutenzione e valorizzazione, attività</w:t>
      </w:r>
      <w:r w:rsidRPr="005B6204">
        <w:rPr>
          <w:rFonts w:eastAsiaTheme="majorEastAsia"/>
          <w:color w:val="212529"/>
        </w:rPr>
        <w:t>, queste, che costituiscono un contenuto tipico del rapporto concessorio in esame.</w:t>
      </w:r>
    </w:p>
    <w:p w14:paraId="29FE2CEC" w14:textId="77777777" w:rsidR="00847B1A" w:rsidRDefault="00847B1A" w:rsidP="00847B1A">
      <w:pPr>
        <w:pStyle w:val="NormaleWeb"/>
        <w:shd w:val="clear" w:color="auto" w:fill="FFFFFF"/>
        <w:spacing w:before="0" w:beforeAutospacing="0" w:after="0" w:afterAutospacing="0"/>
        <w:jc w:val="both"/>
        <w:rPr>
          <w:rFonts w:eastAsiaTheme="majorEastAsia"/>
          <w:color w:val="212529"/>
        </w:rPr>
      </w:pPr>
      <w:r w:rsidRPr="005B6204">
        <w:rPr>
          <w:rFonts w:eastAsiaTheme="majorEastAsia"/>
          <w:color w:val="212529"/>
        </w:rPr>
        <w:t xml:space="preserve">Le </w:t>
      </w:r>
      <w:r w:rsidRPr="005B6204">
        <w:rPr>
          <w:rFonts w:eastAsiaTheme="majorEastAsia"/>
          <w:b/>
          <w:bCs/>
          <w:color w:val="212529"/>
        </w:rPr>
        <w:t>concessioni di beni pubblici</w:t>
      </w:r>
      <w:r w:rsidRPr="005B6204">
        <w:rPr>
          <w:rFonts w:eastAsiaTheme="majorEastAsia"/>
          <w:color w:val="212529"/>
        </w:rPr>
        <w:t xml:space="preserve">, come noto, legittimano il concessionario allo svolgimento di un’attività economica in un’area demaniale, con assunzione del relativo rischio operativo, e non vertono su una prestazione di servizi o di lavori affidata dall’ente aggiudicatore; ne deriva, dunque, la loro </w:t>
      </w:r>
      <w:r w:rsidRPr="005B6204">
        <w:rPr>
          <w:rFonts w:eastAsiaTheme="majorEastAsia"/>
          <w:b/>
          <w:bCs/>
          <w:color w:val="212529"/>
        </w:rPr>
        <w:t>inclusione tra i contratti attivi</w:t>
      </w:r>
      <w:r w:rsidRPr="005B6204">
        <w:rPr>
          <w:rFonts w:eastAsiaTheme="majorEastAsia"/>
          <w:color w:val="212529"/>
        </w:rPr>
        <w:t xml:space="preserve">, </w:t>
      </w:r>
      <w:r w:rsidRPr="005B6204">
        <w:rPr>
          <w:rFonts w:eastAsiaTheme="majorEastAsia"/>
          <w:b/>
          <w:bCs/>
          <w:color w:val="212529"/>
        </w:rPr>
        <w:t xml:space="preserve">con conseguente esclusione dall’ambito di applicazione del codice dei contratti pubblici, ferma la necessaria applicazione di procedure imparziali e </w:t>
      </w:r>
      <w:r w:rsidRPr="005B6204">
        <w:rPr>
          <w:rFonts w:eastAsiaTheme="majorEastAsia"/>
          <w:color w:val="212529"/>
        </w:rPr>
        <w:t>trasparenti e salvi gli auto vincoli eventualmente stabiliti dall’amministrazione nella selezione del concessionario.</w:t>
      </w:r>
    </w:p>
    <w:p w14:paraId="170E17DA" w14:textId="77777777" w:rsidR="00847B1A" w:rsidRPr="005B6204" w:rsidRDefault="00847B1A" w:rsidP="00847B1A">
      <w:pPr>
        <w:pStyle w:val="NormaleWeb"/>
        <w:shd w:val="clear" w:color="auto" w:fill="FFFFFF"/>
        <w:spacing w:before="0" w:beforeAutospacing="0" w:after="0" w:afterAutospacing="0"/>
        <w:jc w:val="both"/>
        <w:rPr>
          <w:rFonts w:eastAsiaTheme="majorEastAsia"/>
          <w:color w:val="212529"/>
        </w:rPr>
      </w:pPr>
      <w:r>
        <w:rPr>
          <w:rFonts w:eastAsiaTheme="majorEastAsia"/>
          <w:color w:val="212529"/>
        </w:rPr>
        <w:t>___________________________</w:t>
      </w:r>
    </w:p>
    <w:p w14:paraId="12B5CFEE"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r>
        <w:rPr>
          <w:rStyle w:val="Enfasigrassetto"/>
          <w:rFonts w:eastAsiaTheme="majorEastAsia"/>
          <w:color w:val="212529"/>
        </w:rPr>
        <w:t>_______________________</w:t>
      </w:r>
    </w:p>
    <w:p w14:paraId="63F686BF"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p>
    <w:p w14:paraId="039C2A74" w14:textId="77777777" w:rsidR="00847B1A" w:rsidRPr="0028123B"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r w:rsidRPr="0028123B">
        <w:rPr>
          <w:rStyle w:val="Enfasigrassetto"/>
          <w:rFonts w:eastAsiaTheme="majorEastAsia"/>
          <w:color w:val="212529"/>
        </w:rPr>
        <w:t>Tar Lombardia, Milano, Sez. V, 04/01/2024, n. 26</w:t>
      </w:r>
    </w:p>
    <w:p w14:paraId="1915482F" w14:textId="77777777" w:rsidR="00847B1A" w:rsidRPr="0028123B" w:rsidRDefault="00847B1A" w:rsidP="00847B1A">
      <w:pPr>
        <w:pStyle w:val="NormaleWeb"/>
        <w:shd w:val="clear" w:color="auto" w:fill="FFFFFF"/>
        <w:spacing w:before="0" w:beforeAutospacing="0" w:after="0" w:afterAutospacing="0"/>
        <w:jc w:val="both"/>
        <w:rPr>
          <w:rStyle w:val="Enfasigrassetto"/>
          <w:rFonts w:eastAsiaTheme="majorEastAsia"/>
          <w:i/>
          <w:iCs/>
          <w:color w:val="212529"/>
        </w:rPr>
      </w:pPr>
      <w:r w:rsidRPr="0028123B">
        <w:rPr>
          <w:rStyle w:val="Enfasigrassetto"/>
          <w:rFonts w:eastAsiaTheme="majorEastAsia"/>
          <w:i/>
          <w:iCs/>
          <w:color w:val="212529"/>
        </w:rPr>
        <w:t xml:space="preserve">Sulla natura di concessione di servizi e non di beni, nel caso di affidamento di impianti sportivi </w:t>
      </w:r>
    </w:p>
    <w:p w14:paraId="607EF4B6" w14:textId="77777777" w:rsidR="00847B1A" w:rsidRPr="003A5EB6" w:rsidRDefault="00847B1A" w:rsidP="00847B1A">
      <w:pPr>
        <w:pStyle w:val="NormaleWeb"/>
        <w:shd w:val="clear" w:color="auto" w:fill="FFFFFF"/>
        <w:spacing w:before="0" w:beforeAutospacing="0" w:after="0" w:afterAutospacing="0"/>
        <w:jc w:val="both"/>
        <w:rPr>
          <w:color w:val="212529"/>
        </w:rPr>
      </w:pPr>
      <w:r w:rsidRPr="003A5EB6">
        <w:rPr>
          <w:rStyle w:val="Enfasigrassetto"/>
          <w:rFonts w:eastAsiaTheme="majorEastAsia"/>
          <w:color w:val="212529"/>
        </w:rPr>
        <w:t>Orbene, fermo quanto sopra, il Collegio reputa che, in considerazione della centralità del momento della «</w:t>
      </w:r>
      <w:r w:rsidRPr="003A5EB6">
        <w:rPr>
          <w:rStyle w:val="Enfasicorsivo"/>
          <w:rFonts w:eastAsiaTheme="majorEastAsia"/>
          <w:color w:val="212529"/>
        </w:rPr>
        <w:t>gestione</w:t>
      </w:r>
      <w:r w:rsidRPr="003A5EB6">
        <w:rPr>
          <w:rStyle w:val="Enfasigrassetto"/>
          <w:rFonts w:eastAsiaTheme="majorEastAsia"/>
          <w:color w:val="212529"/>
        </w:rPr>
        <w:t>», che prefigura come meramente strumentale l’affidamento del bene di proprietà pubblica, la gestione dell’impianto sportivo per cui è causa assume i caratteri tipici di un servizio pubblico [su cui cfr., tra le tante, Cons. Stato, V, 28-01-2021, n. 858; id., 18-08-2021, n. 5915, per cui: «</w:t>
      </w:r>
      <w:r w:rsidRPr="0028123B">
        <w:rPr>
          <w:rStyle w:val="Enfasicorsivo"/>
          <w:rFonts w:eastAsiaTheme="majorEastAsia"/>
          <w:i w:val="0"/>
          <w:iCs w:val="0"/>
          <w:color w:val="212529"/>
        </w:rPr>
        <w:t xml:space="preserve">Nel caso della gestione di impianti sportivi comunali si tratta, in particolare, di un servizio pubblico locale, ai sensi dell’art. 112 del d.lgs. n. 267/2000, per cui l’utilizzo del patrimonio si fonda con la promozione dello sport che, unitamente all’effetto socializzante ed aggregativo, assume in ruolo di strumento di miglioramento della qualità della vita a beneficio non solo per la salute dei cittadini, ma anche per la vitalità sociale della comunità (culturale, turistico, di immagine del territorio, etc.). </w:t>
      </w:r>
      <w:r w:rsidRPr="003A5EB6">
        <w:rPr>
          <w:rStyle w:val="Enfasicorsivo"/>
          <w:rFonts w:eastAsiaTheme="majorEastAsia"/>
          <w:b/>
          <w:bCs/>
          <w:color w:val="212529"/>
        </w:rPr>
        <w:t xml:space="preserve">Ne discende che, sotto il profilo considerato, l’affidamento in via convenzionale di immobili, strutture, impianti, aree e locali pubblici – appartenenti al patrimonio indisponibile dell’ente, ai sensi dell’art. 826 del c.c., </w:t>
      </w:r>
      <w:r w:rsidRPr="003A5EB6">
        <w:rPr>
          <w:rStyle w:val="Enfasicorsivo"/>
          <w:rFonts w:eastAsiaTheme="majorEastAsia"/>
          <w:b/>
          <w:bCs/>
          <w:color w:val="212529"/>
          <w:u w:val="single"/>
        </w:rPr>
        <w:t>quando siano o vengano, come nella specie, destinati al soddisfacimento dell’interesse della collettività</w:t>
      </w:r>
      <w:r w:rsidRPr="003A5EB6">
        <w:rPr>
          <w:rStyle w:val="Enfasicorsivo"/>
          <w:rFonts w:eastAsiaTheme="majorEastAsia"/>
          <w:b/>
          <w:bCs/>
          <w:color w:val="212529"/>
        </w:rPr>
        <w:t xml:space="preserve"> allo svolgimento delle attività sportive – </w:t>
      </w:r>
      <w:r w:rsidRPr="003A5EB6">
        <w:rPr>
          <w:rStyle w:val="Enfasicorsivo"/>
          <w:rFonts w:eastAsiaTheme="majorEastAsia"/>
          <w:b/>
          <w:bCs/>
          <w:color w:val="212529"/>
          <w:u w:val="single"/>
        </w:rPr>
        <w:t>non è sussumibile nel paradigma della concessione di beni,</w:t>
      </w:r>
      <w:r w:rsidRPr="003A5EB6">
        <w:rPr>
          <w:rStyle w:val="Enfasicorsivo"/>
          <w:rFonts w:eastAsiaTheme="majorEastAsia"/>
          <w:b/>
          <w:bCs/>
          <w:color w:val="212529"/>
        </w:rPr>
        <w:t xml:space="preserve"> </w:t>
      </w:r>
      <w:r w:rsidRPr="003A5EB6">
        <w:rPr>
          <w:rStyle w:val="Enfasicorsivo"/>
          <w:rFonts w:eastAsiaTheme="majorEastAsia"/>
          <w:b/>
          <w:bCs/>
          <w:color w:val="212529"/>
          <w:u w:val="single"/>
        </w:rPr>
        <w:t>ma struttura, per l’appunto, una concessione di servizi</w:t>
      </w:r>
      <w:r w:rsidRPr="003A5EB6">
        <w:rPr>
          <w:rStyle w:val="Enfasigrassetto"/>
          <w:rFonts w:eastAsiaTheme="majorEastAsia"/>
          <w:color w:val="212529"/>
          <w:u w:val="single"/>
        </w:rPr>
        <w:t>»;</w:t>
      </w:r>
      <w:r w:rsidRPr="003A5EB6">
        <w:rPr>
          <w:rStyle w:val="Enfasigrassetto"/>
          <w:rFonts w:eastAsiaTheme="majorEastAsia"/>
          <w:color w:val="212529"/>
        </w:rPr>
        <w:t xml:space="preserve"> nonché, TAR Lazio, Roma, II S, 27-03-2023, n. 5246; TAR Lombardia, Milano, I, 24-02-2023, n. 485].</w:t>
      </w:r>
    </w:p>
    <w:p w14:paraId="017EC875" w14:textId="77777777" w:rsidR="00847B1A" w:rsidRPr="003A5EB6" w:rsidRDefault="00847B1A" w:rsidP="00847B1A">
      <w:pPr>
        <w:pStyle w:val="NormaleWeb"/>
        <w:shd w:val="clear" w:color="auto" w:fill="FFFFFF"/>
        <w:spacing w:before="0" w:beforeAutospacing="0" w:after="0" w:afterAutospacing="0"/>
        <w:jc w:val="both"/>
        <w:rPr>
          <w:color w:val="212529"/>
        </w:rPr>
      </w:pPr>
      <w:r w:rsidRPr="003A5EB6">
        <w:rPr>
          <w:rStyle w:val="Enfasigrassetto"/>
          <w:rFonts w:eastAsiaTheme="majorEastAsia"/>
          <w:color w:val="212529"/>
        </w:rPr>
        <w:t>Difatti, giova ribadire che, stando alla giurisprudenza condivisa dal Collegio, gli impianti sportivi comunali «</w:t>
      </w:r>
      <w:r w:rsidRPr="003A5EB6">
        <w:rPr>
          <w:rStyle w:val="Enfasicorsivo"/>
          <w:rFonts w:eastAsiaTheme="majorEastAsia"/>
          <w:color w:val="212529"/>
        </w:rPr>
        <w:t xml:space="preserve">appartengono al patrimonio indisponibile del Comune, ai sensi dell’art. 826, </w:t>
      </w:r>
      <w:proofErr w:type="spellStart"/>
      <w:r w:rsidRPr="003A5EB6">
        <w:rPr>
          <w:rStyle w:val="Enfasicorsivo"/>
          <w:rFonts w:eastAsiaTheme="majorEastAsia"/>
          <w:color w:val="212529"/>
        </w:rPr>
        <w:t>ult</w:t>
      </w:r>
      <w:proofErr w:type="spellEnd"/>
      <w:r w:rsidRPr="003A5EB6">
        <w:rPr>
          <w:rStyle w:val="Enfasicorsivo"/>
          <w:rFonts w:eastAsiaTheme="majorEastAsia"/>
          <w:color w:val="212529"/>
        </w:rPr>
        <w:t xml:space="preserve">. comma, c.c., essendo destinati al soddisfacimento dell’interesse della collettività allo svolgimento delle attività sportive, sicché, qualora tali beni siano dati in concessione a privati, restano devolute al giudice amministrativo le controversie sul rapporto concessorio, inclusa quella </w:t>
      </w:r>
      <w:r w:rsidRPr="003A5EB6">
        <w:rPr>
          <w:rStyle w:val="Enfasicorsivo"/>
          <w:rFonts w:eastAsiaTheme="majorEastAsia"/>
          <w:color w:val="212529"/>
        </w:rPr>
        <w:lastRenderedPageBreak/>
        <w:t>sull’inadempimento degli obblighi concessori e la decadenza del concessionario</w:t>
      </w:r>
      <w:r w:rsidRPr="003A5EB6">
        <w:rPr>
          <w:rStyle w:val="Enfasigrassetto"/>
          <w:rFonts w:eastAsiaTheme="majorEastAsia"/>
          <w:color w:val="212529"/>
        </w:rPr>
        <w:t>» (così, Consiglio di Stato, sez. II, 20 maggio 2022, n. 4007).</w:t>
      </w:r>
    </w:p>
    <w:p w14:paraId="77DCD7EA"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b w:val="0"/>
          <w:bCs w:val="0"/>
          <w:color w:val="212529"/>
        </w:rPr>
      </w:pPr>
    </w:p>
    <w:p w14:paraId="6E541AAD" w14:textId="77777777" w:rsidR="00847B1A" w:rsidRPr="0028123B"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r w:rsidRPr="0028123B">
        <w:rPr>
          <w:rStyle w:val="Enfasigrassetto"/>
          <w:rFonts w:eastAsiaTheme="majorEastAsia"/>
          <w:color w:val="212529"/>
        </w:rPr>
        <w:t>Sulla natura di concessione di servizi e non di appalto di servizi in caso di accertata rilevanza economica</w:t>
      </w:r>
    </w:p>
    <w:p w14:paraId="2B904F2B" w14:textId="77777777" w:rsidR="00847B1A" w:rsidRPr="00901F33" w:rsidRDefault="00847B1A" w:rsidP="00847B1A">
      <w:pPr>
        <w:pStyle w:val="NormaleWeb"/>
        <w:shd w:val="clear" w:color="auto" w:fill="FFFFFF"/>
        <w:spacing w:before="0" w:beforeAutospacing="0" w:after="0" w:afterAutospacing="0"/>
        <w:jc w:val="both"/>
        <w:rPr>
          <w:rStyle w:val="Enfasigrassetto"/>
          <w:rFonts w:eastAsiaTheme="majorEastAsia"/>
          <w:b w:val="0"/>
          <w:bCs w:val="0"/>
          <w:color w:val="212529"/>
        </w:rPr>
      </w:pPr>
      <w:r>
        <w:rPr>
          <w:rStyle w:val="Enfasigrassetto"/>
          <w:rFonts w:eastAsiaTheme="majorEastAsia"/>
          <w:b w:val="0"/>
          <w:bCs w:val="0"/>
          <w:color w:val="212529"/>
        </w:rPr>
        <w:t>Non</w:t>
      </w:r>
      <w:r w:rsidRPr="00901F33">
        <w:rPr>
          <w:rStyle w:val="Enfasigrassetto"/>
          <w:rFonts w:eastAsiaTheme="majorEastAsia"/>
          <w:b w:val="0"/>
          <w:bCs w:val="0"/>
          <w:color w:val="212529"/>
        </w:rPr>
        <w:t xml:space="preserve"> si ravvisano nella specie gli elementi dell’appalto di servizi, come adombrato da parte resistente, atteso che, da un lato, </w:t>
      </w:r>
      <w:r w:rsidRPr="00901F33">
        <w:rPr>
          <w:rStyle w:val="Enfasigrassetto"/>
          <w:rFonts w:eastAsiaTheme="majorEastAsia"/>
          <w:color w:val="212529"/>
        </w:rPr>
        <w:t xml:space="preserve">non </w:t>
      </w:r>
      <w:r w:rsidRPr="00901F33">
        <w:rPr>
          <w:rStyle w:val="Enfasigrassetto"/>
          <w:rFonts w:eastAsiaTheme="majorEastAsia"/>
          <w:b w:val="0"/>
          <w:bCs w:val="0"/>
          <w:color w:val="212529"/>
        </w:rPr>
        <w:t xml:space="preserve">v’è prova che si tratti di </w:t>
      </w:r>
      <w:r w:rsidRPr="00901F33">
        <w:rPr>
          <w:rStyle w:val="Enfasigrassetto"/>
          <w:rFonts w:eastAsiaTheme="majorEastAsia"/>
          <w:color w:val="212529"/>
        </w:rPr>
        <w:t>impianto privo di rilevanza economica e che il canone corrisposto dal Comune sia idoneo ad azzerare il cd. rischio operativo a carico del concessionario</w:t>
      </w:r>
      <w:r w:rsidRPr="00901F33">
        <w:rPr>
          <w:rStyle w:val="Enfasigrassetto"/>
          <w:rFonts w:eastAsiaTheme="majorEastAsia"/>
          <w:b w:val="0"/>
          <w:bCs w:val="0"/>
          <w:color w:val="212529"/>
        </w:rPr>
        <w:t xml:space="preserve">; e, dall’altro, il fatto che, su impulso del diritto euro-unitario, la differenza tra appalto e concessione si sia andata riducendo per effetto della loro comune </w:t>
      </w:r>
      <w:r w:rsidRPr="00901F33">
        <w:rPr>
          <w:rStyle w:val="Enfasigrassetto"/>
          <w:rFonts w:eastAsiaTheme="majorEastAsia"/>
          <w:color w:val="212529"/>
        </w:rPr>
        <w:t xml:space="preserve">riconduzione al </w:t>
      </w:r>
      <w:proofErr w:type="spellStart"/>
      <w:r w:rsidRPr="00901F33">
        <w:rPr>
          <w:rStyle w:val="Enfasicorsivo"/>
          <w:rFonts w:eastAsiaTheme="majorEastAsia"/>
          <w:color w:val="212529"/>
        </w:rPr>
        <w:t>genus</w:t>
      </w:r>
      <w:proofErr w:type="spellEnd"/>
      <w:r w:rsidRPr="00901F33">
        <w:rPr>
          <w:rStyle w:val="Enfasicorsivo"/>
          <w:rFonts w:eastAsiaTheme="majorEastAsia"/>
          <w:color w:val="212529"/>
        </w:rPr>
        <w:t xml:space="preserve"> </w:t>
      </w:r>
      <w:r w:rsidRPr="00901F33">
        <w:rPr>
          <w:rStyle w:val="Enfasigrassetto"/>
          <w:rFonts w:eastAsiaTheme="majorEastAsia"/>
          <w:color w:val="212529"/>
        </w:rPr>
        <w:t>del “contratto a titolo oneroso</w:t>
      </w:r>
      <w:r w:rsidRPr="00901F33">
        <w:rPr>
          <w:rStyle w:val="Enfasigrassetto"/>
          <w:rFonts w:eastAsiaTheme="majorEastAsia"/>
          <w:b w:val="0"/>
          <w:bCs w:val="0"/>
          <w:color w:val="212529"/>
        </w:rPr>
        <w:t xml:space="preserve">”, comunque </w:t>
      </w:r>
      <w:r w:rsidRPr="00901F33">
        <w:rPr>
          <w:rStyle w:val="Enfasigrassetto"/>
          <w:rFonts w:eastAsiaTheme="majorEastAsia"/>
          <w:color w:val="212529"/>
        </w:rPr>
        <w:t>non legittima una completa assimilazione tra i due istituti</w:t>
      </w:r>
      <w:r w:rsidRPr="00901F33">
        <w:rPr>
          <w:rStyle w:val="Enfasigrassetto"/>
          <w:rFonts w:eastAsiaTheme="majorEastAsia"/>
          <w:b w:val="0"/>
          <w:bCs w:val="0"/>
          <w:color w:val="212529"/>
        </w:rPr>
        <w:t>, specie in relazione alla fase esecutiva del rapporto.</w:t>
      </w:r>
    </w:p>
    <w:p w14:paraId="5A39E2E3"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color w:val="212529"/>
        </w:rPr>
      </w:pPr>
      <w:r w:rsidRPr="003A5EB6">
        <w:rPr>
          <w:rStyle w:val="Enfasigrassetto"/>
          <w:rFonts w:eastAsiaTheme="majorEastAsia"/>
          <w:color w:val="212529"/>
        </w:rPr>
        <w:t>__________________________</w:t>
      </w:r>
    </w:p>
    <w:p w14:paraId="79C1F621" w14:textId="77777777" w:rsidR="00847B1A" w:rsidRDefault="00847B1A" w:rsidP="00847B1A">
      <w:pPr>
        <w:pStyle w:val="NormaleWeb"/>
        <w:shd w:val="clear" w:color="auto" w:fill="FFFFFF"/>
        <w:spacing w:before="0" w:beforeAutospacing="0" w:after="0" w:afterAutospacing="0"/>
        <w:jc w:val="both"/>
        <w:rPr>
          <w:rStyle w:val="Enfasigrassetto"/>
          <w:rFonts w:eastAsiaTheme="majorEastAsia"/>
          <w:b w:val="0"/>
          <w:bCs w:val="0"/>
          <w:color w:val="212529"/>
        </w:rPr>
      </w:pPr>
    </w:p>
    <w:p w14:paraId="210C3DC3" w14:textId="77777777" w:rsidR="00847B1A" w:rsidRPr="00901F33" w:rsidRDefault="00847B1A" w:rsidP="00847B1A">
      <w:pPr>
        <w:pStyle w:val="NormaleWeb"/>
        <w:shd w:val="clear" w:color="auto" w:fill="FFFFFF"/>
        <w:spacing w:before="0" w:beforeAutospacing="0" w:after="0" w:afterAutospacing="0" w:line="276" w:lineRule="auto"/>
        <w:jc w:val="both"/>
        <w:rPr>
          <w:rFonts w:eastAsiaTheme="minorHAnsi"/>
          <w:b/>
          <w:bCs/>
          <w:kern w:val="2"/>
          <w:lang w:eastAsia="en-US"/>
          <w14:ligatures w14:val="standardContextual"/>
        </w:rPr>
      </w:pPr>
      <w:r w:rsidRPr="00901F33">
        <w:rPr>
          <w:rFonts w:eastAsiaTheme="minorHAnsi"/>
          <w:b/>
          <w:bCs/>
          <w:kern w:val="2"/>
          <w:lang w:eastAsia="en-US"/>
          <w14:ligatures w14:val="standardContextual"/>
        </w:rPr>
        <w:t>C</w:t>
      </w:r>
      <w:r>
        <w:rPr>
          <w:rFonts w:eastAsiaTheme="minorHAnsi"/>
          <w:b/>
          <w:bCs/>
          <w:kern w:val="2"/>
          <w:lang w:eastAsia="en-US"/>
          <w14:ligatures w14:val="standardContextual"/>
        </w:rPr>
        <w:t xml:space="preserve">ons. Stato, Sez. </w:t>
      </w:r>
      <w:proofErr w:type="gramStart"/>
      <w:r>
        <w:rPr>
          <w:rFonts w:eastAsiaTheme="minorHAnsi"/>
          <w:b/>
          <w:bCs/>
          <w:kern w:val="2"/>
          <w:lang w:eastAsia="en-US"/>
          <w14:ligatures w14:val="standardContextual"/>
        </w:rPr>
        <w:t xml:space="preserve">IV, </w:t>
      </w:r>
      <w:r w:rsidRPr="00901F33">
        <w:rPr>
          <w:rFonts w:eastAsiaTheme="minorHAnsi"/>
          <w:b/>
          <w:bCs/>
          <w:kern w:val="2"/>
          <w:lang w:eastAsia="en-US"/>
          <w14:ligatures w14:val="standardContextual"/>
        </w:rPr>
        <w:t xml:space="preserve"> n.</w:t>
      </w:r>
      <w:proofErr w:type="gramEnd"/>
      <w:r w:rsidRPr="00901F33">
        <w:rPr>
          <w:rFonts w:eastAsiaTheme="minorHAnsi"/>
          <w:b/>
          <w:bCs/>
          <w:kern w:val="2"/>
          <w:lang w:eastAsia="en-US"/>
          <w14:ligatures w14:val="standardContextual"/>
        </w:rPr>
        <w:t xml:space="preserve"> 1784/2022</w:t>
      </w:r>
    </w:p>
    <w:p w14:paraId="6DAA195C" w14:textId="77777777" w:rsidR="00847B1A" w:rsidRPr="00901F33" w:rsidRDefault="00847B1A" w:rsidP="00847B1A">
      <w:pPr>
        <w:pStyle w:val="NormaleWeb"/>
        <w:shd w:val="clear" w:color="auto" w:fill="FFFFFF"/>
        <w:spacing w:before="0" w:beforeAutospacing="0" w:after="0" w:afterAutospacing="0" w:line="276" w:lineRule="auto"/>
        <w:jc w:val="both"/>
        <w:rPr>
          <w:rFonts w:eastAsiaTheme="minorHAnsi"/>
          <w:b/>
          <w:bCs/>
          <w:kern w:val="2"/>
          <w:lang w:eastAsia="en-US"/>
          <w14:ligatures w14:val="standardContextual"/>
        </w:rPr>
      </w:pPr>
      <w:r w:rsidRPr="00901F33">
        <w:rPr>
          <w:rFonts w:eastAsiaTheme="minorHAnsi"/>
          <w:b/>
          <w:bCs/>
          <w:kern w:val="2"/>
          <w:lang w:eastAsia="en-US"/>
          <w14:ligatures w14:val="standardContextual"/>
        </w:rPr>
        <w:t>Sulla rilevanza economica</w:t>
      </w:r>
      <w:r>
        <w:rPr>
          <w:rFonts w:eastAsiaTheme="minorHAnsi"/>
          <w:b/>
          <w:bCs/>
          <w:kern w:val="2"/>
          <w:lang w:eastAsia="en-US"/>
          <w14:ligatures w14:val="standardContextual"/>
        </w:rPr>
        <w:t xml:space="preserve"> della concessione di impianti sportivi</w:t>
      </w:r>
    </w:p>
    <w:p w14:paraId="319BCF1D" w14:textId="77777777" w:rsidR="00847B1A" w:rsidRPr="00901F33" w:rsidRDefault="00847B1A" w:rsidP="00847B1A">
      <w:pPr>
        <w:pStyle w:val="NormaleWeb"/>
        <w:shd w:val="clear" w:color="auto" w:fill="FFFFFF"/>
        <w:spacing w:before="0" w:beforeAutospacing="0" w:after="0" w:afterAutospacing="0" w:line="276" w:lineRule="auto"/>
        <w:jc w:val="both"/>
        <w:rPr>
          <w:rFonts w:eastAsiaTheme="minorHAnsi"/>
          <w:kern w:val="2"/>
          <w:lang w:eastAsia="en-US"/>
          <w14:ligatures w14:val="standardContextual"/>
        </w:rPr>
      </w:pPr>
      <w:r w:rsidRPr="00901F33">
        <w:rPr>
          <w:rFonts w:eastAsiaTheme="minorHAnsi"/>
          <w:kern w:val="2"/>
          <w:lang w:eastAsia="en-US"/>
          <w14:ligatures w14:val="standardContextual"/>
        </w:rPr>
        <w:t xml:space="preserve">Sono “sintomi” della rilevanza economica della gestione, i seguenti: </w:t>
      </w:r>
    </w:p>
    <w:p w14:paraId="41656C91" w14:textId="77777777" w:rsidR="00847B1A" w:rsidRDefault="00847B1A" w:rsidP="00847B1A">
      <w:pPr>
        <w:pStyle w:val="NormaleWeb"/>
        <w:shd w:val="clear" w:color="auto" w:fill="FFFFFF"/>
        <w:spacing w:before="0" w:beforeAutospacing="0" w:after="0" w:afterAutospacing="0" w:line="276" w:lineRule="auto"/>
        <w:ind w:left="284"/>
        <w:jc w:val="both"/>
        <w:rPr>
          <w:rFonts w:eastAsiaTheme="minorHAnsi"/>
          <w:kern w:val="2"/>
          <w:lang w:eastAsia="en-US"/>
          <w14:ligatures w14:val="standardContextual"/>
        </w:rPr>
      </w:pPr>
      <w:r>
        <w:rPr>
          <w:rFonts w:eastAsiaTheme="minorHAnsi"/>
          <w:kern w:val="2"/>
          <w:lang w:eastAsia="en-US"/>
          <w14:ligatures w14:val="standardContextual"/>
        </w:rPr>
        <w:t xml:space="preserve">a. </w:t>
      </w:r>
      <w:r w:rsidRPr="00901F33">
        <w:rPr>
          <w:rFonts w:eastAsiaTheme="minorHAnsi"/>
          <w:kern w:val="2"/>
          <w:lang w:eastAsia="en-US"/>
          <w14:ligatures w14:val="standardContextual"/>
        </w:rPr>
        <w:t xml:space="preserve">“… le caratteristiche dell’impianto… che risulta essere di </w:t>
      </w:r>
      <w:r w:rsidRPr="00901F33">
        <w:rPr>
          <w:rFonts w:eastAsiaTheme="minorHAnsi"/>
          <w:b/>
          <w:bCs/>
          <w:kern w:val="2"/>
          <w:lang w:eastAsia="en-US"/>
          <w14:ligatures w14:val="standardContextual"/>
        </w:rPr>
        <w:t>significative dimensioni</w:t>
      </w:r>
      <w:r w:rsidRPr="00901F33">
        <w:rPr>
          <w:rFonts w:eastAsiaTheme="minorHAnsi"/>
          <w:kern w:val="2"/>
          <w:lang w:eastAsia="en-US"/>
          <w14:ligatures w14:val="standardContextual"/>
        </w:rPr>
        <w:t>…”</w:t>
      </w:r>
    </w:p>
    <w:p w14:paraId="6B02D921" w14:textId="77777777" w:rsidR="00847B1A" w:rsidRPr="00901F33" w:rsidRDefault="00847B1A" w:rsidP="00847B1A">
      <w:pPr>
        <w:pStyle w:val="NormaleWeb"/>
        <w:shd w:val="clear" w:color="auto" w:fill="FFFFFF"/>
        <w:spacing w:before="0" w:beforeAutospacing="0" w:after="0" w:afterAutospacing="0" w:line="276" w:lineRule="auto"/>
        <w:ind w:left="284"/>
        <w:jc w:val="both"/>
        <w:rPr>
          <w:rFonts w:eastAsiaTheme="minorHAnsi"/>
          <w:kern w:val="2"/>
          <w:lang w:eastAsia="en-US"/>
          <w14:ligatures w14:val="standardContextual"/>
        </w:rPr>
      </w:pPr>
      <w:r>
        <w:rPr>
          <w:rFonts w:eastAsiaTheme="minorHAnsi"/>
          <w:kern w:val="2"/>
          <w:lang w:eastAsia="en-US"/>
          <w14:ligatures w14:val="standardContextual"/>
        </w:rPr>
        <w:t xml:space="preserve">b. </w:t>
      </w:r>
      <w:proofErr w:type="spellStart"/>
      <w:r w:rsidRPr="00901F33">
        <w:rPr>
          <w:rFonts w:eastAsiaTheme="minorHAnsi"/>
          <w:kern w:val="2"/>
          <w:lang w:eastAsia="en-US"/>
          <w14:ligatures w14:val="standardContextual"/>
        </w:rPr>
        <w:t>la</w:t>
      </w:r>
      <w:proofErr w:type="spellEnd"/>
      <w:r w:rsidRPr="00901F33">
        <w:rPr>
          <w:rFonts w:eastAsiaTheme="minorHAnsi"/>
          <w:kern w:val="2"/>
          <w:lang w:eastAsia="en-US"/>
          <w14:ligatures w14:val="standardContextual"/>
        </w:rPr>
        <w:t xml:space="preserve"> “… facoltà di ritrarre </w:t>
      </w:r>
      <w:r w:rsidRPr="00901F33">
        <w:rPr>
          <w:rFonts w:eastAsiaTheme="minorHAnsi"/>
          <w:b/>
          <w:bCs/>
          <w:kern w:val="2"/>
          <w:lang w:eastAsia="en-US"/>
          <w14:ligatures w14:val="standardContextual"/>
        </w:rPr>
        <w:t>ricavi dall’espletamento della gestione</w:t>
      </w:r>
      <w:r w:rsidRPr="00901F33">
        <w:rPr>
          <w:rFonts w:eastAsiaTheme="minorHAnsi"/>
          <w:kern w:val="2"/>
          <w:lang w:eastAsia="en-US"/>
          <w14:ligatures w14:val="standardContextual"/>
        </w:rPr>
        <w:t xml:space="preserve"> mediante il corrispettivo economico imposto all’utenza…” riconosciuta al concessionario</w:t>
      </w:r>
    </w:p>
    <w:p w14:paraId="6750BAC0" w14:textId="77777777" w:rsidR="00847B1A" w:rsidRPr="00901F33" w:rsidRDefault="00847B1A" w:rsidP="00847B1A">
      <w:pPr>
        <w:pStyle w:val="NormaleWeb"/>
        <w:shd w:val="clear" w:color="auto" w:fill="FFFFFF"/>
        <w:spacing w:before="0" w:beforeAutospacing="0" w:after="0" w:afterAutospacing="0" w:line="276" w:lineRule="auto"/>
        <w:ind w:left="284"/>
        <w:jc w:val="both"/>
        <w:rPr>
          <w:rFonts w:eastAsiaTheme="minorHAnsi"/>
          <w:kern w:val="2"/>
          <w:lang w:eastAsia="en-US"/>
          <w14:ligatures w14:val="standardContextual"/>
        </w:rPr>
      </w:pPr>
      <w:r>
        <w:rPr>
          <w:rFonts w:eastAsiaTheme="minorHAnsi"/>
          <w:kern w:val="2"/>
          <w:lang w:eastAsia="en-US"/>
          <w14:ligatures w14:val="standardContextual"/>
        </w:rPr>
        <w:t xml:space="preserve">c. </w:t>
      </w:r>
      <w:r w:rsidRPr="00901F33">
        <w:rPr>
          <w:rFonts w:eastAsiaTheme="minorHAnsi"/>
          <w:kern w:val="2"/>
          <w:lang w:eastAsia="en-US"/>
          <w14:ligatures w14:val="standardContextual"/>
        </w:rPr>
        <w:t>la facoltà, anch’essa riconosciuta al concessionario, di poter “</w:t>
      </w:r>
      <w:r w:rsidRPr="00901F33">
        <w:rPr>
          <w:rFonts w:eastAsiaTheme="minorHAnsi"/>
          <w:b/>
          <w:bCs/>
          <w:kern w:val="2"/>
          <w:lang w:eastAsia="en-US"/>
          <w14:ligatures w14:val="standardContextual"/>
        </w:rPr>
        <w:t>gestire funzionalmente e di sfruttare economicamente il servizio</w:t>
      </w:r>
      <w:r w:rsidRPr="00901F33">
        <w:rPr>
          <w:rFonts w:eastAsiaTheme="minorHAnsi"/>
          <w:kern w:val="2"/>
          <w:lang w:eastAsia="en-US"/>
          <w14:ligatures w14:val="standardContextual"/>
        </w:rPr>
        <w:t xml:space="preserve"> da espletare presso l’intero impianto”</w:t>
      </w:r>
    </w:p>
    <w:p w14:paraId="1F194A05" w14:textId="77777777" w:rsidR="00847B1A" w:rsidRPr="00901F33" w:rsidRDefault="00847B1A" w:rsidP="00847B1A">
      <w:pPr>
        <w:pStyle w:val="NormaleWeb"/>
        <w:shd w:val="clear" w:color="auto" w:fill="FFFFFF"/>
        <w:spacing w:before="0" w:beforeAutospacing="0" w:after="0" w:afterAutospacing="0" w:line="276" w:lineRule="auto"/>
        <w:jc w:val="both"/>
        <w:rPr>
          <w:rFonts w:eastAsiaTheme="minorHAnsi"/>
          <w:kern w:val="2"/>
          <w:lang w:eastAsia="en-US"/>
          <w14:ligatures w14:val="standardContextual"/>
        </w:rPr>
      </w:pPr>
      <w:r w:rsidRPr="00901F33">
        <w:rPr>
          <w:rFonts w:eastAsiaTheme="minorHAnsi"/>
          <w:b/>
          <w:bCs/>
          <w:kern w:val="2"/>
          <w:u w:val="single"/>
          <w:lang w:eastAsia="en-US"/>
          <w14:ligatures w14:val="standardContextual"/>
        </w:rPr>
        <w:t>NON è “sintomo”</w:t>
      </w:r>
      <w:r w:rsidRPr="00901F33">
        <w:rPr>
          <w:rFonts w:eastAsiaTheme="minorHAnsi"/>
          <w:kern w:val="2"/>
          <w:lang w:eastAsia="en-US"/>
          <w14:ligatures w14:val="standardContextual"/>
        </w:rPr>
        <w:t xml:space="preserve"> decisivo della rilevanza economica della gestione il contributo, atteso che: </w:t>
      </w:r>
    </w:p>
    <w:p w14:paraId="2839555E" w14:textId="77777777" w:rsidR="00847B1A" w:rsidRPr="00901F33" w:rsidRDefault="00847B1A" w:rsidP="00847B1A">
      <w:pPr>
        <w:pStyle w:val="NormaleWeb"/>
        <w:shd w:val="clear" w:color="auto" w:fill="FFFFFF"/>
        <w:spacing w:before="0" w:beforeAutospacing="0" w:after="0" w:afterAutospacing="0" w:line="276" w:lineRule="auto"/>
        <w:jc w:val="both"/>
        <w:rPr>
          <w:rFonts w:eastAsiaTheme="minorHAnsi"/>
          <w:kern w:val="2"/>
          <w:lang w:eastAsia="en-US"/>
          <w14:ligatures w14:val="standardContextual"/>
        </w:rPr>
      </w:pPr>
      <w:r w:rsidRPr="00901F33">
        <w:rPr>
          <w:rFonts w:eastAsiaTheme="minorHAnsi"/>
          <w:kern w:val="2"/>
          <w:lang w:eastAsia="en-US"/>
          <w14:ligatures w14:val="standardContextual"/>
        </w:rPr>
        <w:t xml:space="preserve">- “non appare contrastante con l’accertata remuneratività del servizio” neppure “il </w:t>
      </w:r>
      <w:r w:rsidRPr="00D515A6">
        <w:rPr>
          <w:rFonts w:eastAsiaTheme="minorHAnsi"/>
          <w:b/>
          <w:bCs/>
          <w:kern w:val="2"/>
          <w:lang w:eastAsia="en-US"/>
          <w14:ligatures w14:val="standardContextual"/>
        </w:rPr>
        <w:t>contributo che il Comune si è impegnato a corrispondere</w:t>
      </w:r>
      <w:r w:rsidRPr="00901F33">
        <w:rPr>
          <w:rFonts w:eastAsiaTheme="minorHAnsi"/>
          <w:kern w:val="2"/>
          <w:lang w:eastAsia="en-US"/>
          <w14:ligatures w14:val="standardContextual"/>
        </w:rPr>
        <w:t>”, atteso che il Consiglio di stato sostiene che tale contributo “anzi né è conferma configurandosi come ulteriore entrata avantaggio del gestore”.</w:t>
      </w:r>
    </w:p>
    <w:p w14:paraId="3A8CCFCA" w14:textId="77777777" w:rsidR="00847B1A" w:rsidRPr="003A5EB6" w:rsidRDefault="00847B1A" w:rsidP="00847B1A">
      <w:pPr>
        <w:pStyle w:val="NormaleWeb"/>
        <w:shd w:val="clear" w:color="auto" w:fill="FFFFFF"/>
        <w:spacing w:before="0" w:beforeAutospacing="0" w:after="0" w:afterAutospacing="0" w:line="360" w:lineRule="auto"/>
        <w:jc w:val="both"/>
        <w:rPr>
          <w:rStyle w:val="Enfasigrassetto"/>
          <w:rFonts w:eastAsiaTheme="majorEastAsia"/>
          <w:b w:val="0"/>
          <w:bCs w:val="0"/>
          <w:color w:val="212529"/>
        </w:rPr>
      </w:pPr>
      <w:r>
        <w:rPr>
          <w:rStyle w:val="Enfasigrassetto"/>
          <w:rFonts w:eastAsiaTheme="majorEastAsia"/>
          <w:b w:val="0"/>
          <w:bCs w:val="0"/>
          <w:color w:val="212529"/>
        </w:rPr>
        <w:t>_________________________</w:t>
      </w:r>
    </w:p>
    <w:p w14:paraId="470C4DA7" w14:textId="77777777" w:rsidR="00847B1A" w:rsidRPr="003A5EB6" w:rsidRDefault="00847B1A" w:rsidP="00847B1A">
      <w:pPr>
        <w:pStyle w:val="NormaleWeb"/>
        <w:shd w:val="clear" w:color="auto" w:fill="FFFFFF"/>
        <w:spacing w:before="0" w:beforeAutospacing="0" w:after="0" w:afterAutospacing="0"/>
        <w:jc w:val="both"/>
        <w:rPr>
          <w:rStyle w:val="Enfasigrassetto"/>
          <w:rFonts w:eastAsiaTheme="majorEastAsia"/>
          <w:b w:val="0"/>
          <w:bCs w:val="0"/>
          <w:color w:val="212529"/>
        </w:rPr>
      </w:pPr>
    </w:p>
    <w:p w14:paraId="05C896C8" w14:textId="31C09886" w:rsidR="00671497" w:rsidRPr="00101B3F" w:rsidRDefault="00671497" w:rsidP="00671497">
      <w:pPr>
        <w:jc w:val="center"/>
        <w:rPr>
          <w:rFonts w:ascii="Times New Roman" w:hAnsi="Times New Roman" w:cs="Times New Roman"/>
          <w:b/>
          <w:bCs/>
          <w:sz w:val="24"/>
          <w:szCs w:val="24"/>
        </w:rPr>
      </w:pPr>
      <w:r w:rsidRPr="00656217">
        <w:rPr>
          <w:rFonts w:ascii="Times New Roman" w:hAnsi="Times New Roman" w:cs="Times New Roman"/>
          <w:b/>
          <w:bCs/>
          <w:sz w:val="24"/>
          <w:szCs w:val="24"/>
          <w:highlight w:val="yellow"/>
        </w:rPr>
        <w:t>ART 11 “</w:t>
      </w:r>
      <w:r w:rsidR="00031E46" w:rsidRPr="00656217">
        <w:rPr>
          <w:rFonts w:ascii="Times New Roman" w:hAnsi="Times New Roman" w:cs="Times New Roman"/>
          <w:b/>
          <w:bCs/>
          <w:sz w:val="24"/>
          <w:szCs w:val="24"/>
          <w:highlight w:val="yellow"/>
        </w:rPr>
        <w:t>PRINCIPIO DI APPLICAZIONE DEI CONTRATTI COLLETTIVI NAZIONALI DI SETTORE. INADEMPIENZE CONTRIBUTIVE E RITARDO NEI PAGAMENTI” ART. 57 “CLAUSOLA SOCIALE”</w:t>
      </w:r>
    </w:p>
    <w:p w14:paraId="0B252539" w14:textId="185DB2C1" w:rsidR="00671497" w:rsidRPr="00101B3F" w:rsidRDefault="00671497" w:rsidP="00671497">
      <w:pPr>
        <w:jc w:val="both"/>
        <w:rPr>
          <w:rFonts w:ascii="Times New Roman" w:hAnsi="Times New Roman" w:cs="Times New Roman"/>
          <w:b/>
          <w:bCs/>
          <w:sz w:val="24"/>
          <w:szCs w:val="24"/>
        </w:rPr>
      </w:pPr>
      <w:r w:rsidRPr="00101B3F">
        <w:rPr>
          <w:rFonts w:ascii="Times New Roman" w:hAnsi="Times New Roman" w:cs="Times New Roman"/>
          <w:b/>
          <w:bCs/>
          <w:sz w:val="24"/>
          <w:szCs w:val="24"/>
        </w:rPr>
        <w:t>TAR Lombardia, Milano, Sez. IV, 30.01.2025 n. 296</w:t>
      </w:r>
    </w:p>
    <w:p w14:paraId="451E7D46" w14:textId="6065EE24" w:rsidR="00671497" w:rsidRPr="00101B3F" w:rsidRDefault="00671497" w:rsidP="00671497">
      <w:pPr>
        <w:jc w:val="both"/>
        <w:rPr>
          <w:rFonts w:ascii="Times New Roman" w:hAnsi="Times New Roman" w:cs="Times New Roman"/>
          <w:b/>
          <w:bCs/>
          <w:i/>
          <w:iCs/>
          <w:sz w:val="24"/>
          <w:szCs w:val="24"/>
        </w:rPr>
      </w:pPr>
      <w:r w:rsidRPr="00101B3F">
        <w:rPr>
          <w:rFonts w:ascii="Times New Roman" w:hAnsi="Times New Roman" w:cs="Times New Roman"/>
          <w:b/>
          <w:bCs/>
          <w:i/>
          <w:iCs/>
          <w:sz w:val="24"/>
          <w:szCs w:val="24"/>
        </w:rPr>
        <w:t>Sull’obbligo di verifica della dichiarazione di equivalenza prima dell’affidamento.</w:t>
      </w:r>
    </w:p>
    <w:p w14:paraId="66BF94BE" w14:textId="624EFBF7" w:rsidR="00671497" w:rsidRPr="00101B3F" w:rsidRDefault="00671497" w:rsidP="00671497">
      <w:pPr>
        <w:jc w:val="both"/>
        <w:rPr>
          <w:rFonts w:ascii="Times New Roman" w:hAnsi="Times New Roman" w:cs="Times New Roman"/>
          <w:b/>
          <w:bCs/>
          <w:sz w:val="24"/>
          <w:szCs w:val="24"/>
        </w:rPr>
      </w:pPr>
      <w:r w:rsidRPr="00101B3F">
        <w:rPr>
          <w:rFonts w:ascii="Times New Roman" w:hAnsi="Times New Roman" w:cs="Times New Roman"/>
          <w:sz w:val="24"/>
          <w:szCs w:val="24"/>
        </w:rPr>
        <w:t>Nel caso di specie, l’aggiudicataria si è avvalsa della facoltà riconosciuta dall’</w:t>
      </w:r>
      <w:hyperlink r:id="rId5" w:tgtFrame="_blank" w:history="1">
        <w:r w:rsidRPr="00101B3F">
          <w:rPr>
            <w:rStyle w:val="Collegamentoipertestuale"/>
            <w:rFonts w:ascii="Times New Roman" w:hAnsi="Times New Roman" w:cs="Times New Roman"/>
            <w:color w:val="auto"/>
            <w:sz w:val="24"/>
            <w:szCs w:val="24"/>
            <w:u w:val="none"/>
          </w:rPr>
          <w:t xml:space="preserve">art. 11, comma 3, </w:t>
        </w:r>
        <w:proofErr w:type="spellStart"/>
        <w:r w:rsidRPr="00101B3F">
          <w:rPr>
            <w:rStyle w:val="Collegamentoipertestuale"/>
            <w:rFonts w:ascii="Times New Roman" w:hAnsi="Times New Roman" w:cs="Times New Roman"/>
            <w:color w:val="auto"/>
            <w:sz w:val="24"/>
            <w:szCs w:val="24"/>
            <w:u w:val="none"/>
          </w:rPr>
          <w:t>D.Lgs.</w:t>
        </w:r>
        <w:proofErr w:type="spellEnd"/>
        <w:r w:rsidRPr="00101B3F">
          <w:rPr>
            <w:rStyle w:val="Collegamentoipertestuale"/>
            <w:rFonts w:ascii="Times New Roman" w:hAnsi="Times New Roman" w:cs="Times New Roman"/>
            <w:color w:val="auto"/>
            <w:sz w:val="24"/>
            <w:szCs w:val="24"/>
            <w:u w:val="none"/>
          </w:rPr>
          <w:t xml:space="preserve"> 36/2023</w:t>
        </w:r>
      </w:hyperlink>
      <w:r w:rsidRPr="00101B3F">
        <w:rPr>
          <w:rFonts w:ascii="Times New Roman" w:hAnsi="Times New Roman" w:cs="Times New Roman"/>
          <w:sz w:val="24"/>
          <w:szCs w:val="24"/>
        </w:rPr>
        <w:t>, indicando un CCNL diverso da quello previsto all’art. 3 del Disciplinare di gara e depositando una espressa dichiarazione di equivalenza tra i due contratti.</w:t>
      </w:r>
      <w:r w:rsidRPr="00101B3F">
        <w:rPr>
          <w:rFonts w:ascii="Times New Roman" w:hAnsi="Times New Roman" w:cs="Times New Roman"/>
          <w:sz w:val="24"/>
          <w:szCs w:val="24"/>
        </w:rPr>
        <w:br/>
        <w:t>Ebbene, a fronte di ciò, ritiene il Collegio che l’ente concedente avrebbe dovuto procedere, in ossequio al disposto dell’art. 11, comma 4, D.lgs. 36/2023 ratione temporis applicabile, alla verifica del contenuto della suddetta dichiarazione, anche con le modalità di cui all’art. 110 del medesimo decreto legislativo, ciò che, tuttavia, non è avvenuto, essendosi l’Amministrazione limitata a recepire supinamente la dichiarazione resa dalla aggiudicataria.</w:t>
      </w:r>
      <w:r w:rsidRPr="00101B3F">
        <w:rPr>
          <w:rFonts w:ascii="Times New Roman" w:hAnsi="Times New Roman" w:cs="Times New Roman"/>
          <w:sz w:val="24"/>
          <w:szCs w:val="24"/>
        </w:rPr>
        <w:br/>
        <w:t xml:space="preserve">E, invero, </w:t>
      </w:r>
      <w:r w:rsidRPr="00101B3F">
        <w:rPr>
          <w:rFonts w:ascii="Times New Roman" w:hAnsi="Times New Roman" w:cs="Times New Roman"/>
          <w:b/>
          <w:bCs/>
          <w:sz w:val="24"/>
          <w:szCs w:val="24"/>
        </w:rPr>
        <w:t>se, da un lato, mediante l’istituto in esame il legislatore ha inteso riconoscere agli operatori economici una maggiore flessibilità nella propria organizzazione aziendale, quale corollario della libertà di iniziativa economica privata scolpita all’art. 41 Cost</w:t>
      </w:r>
      <w:r w:rsidRPr="00101B3F">
        <w:rPr>
          <w:rFonts w:ascii="Times New Roman" w:hAnsi="Times New Roman" w:cs="Times New Roman"/>
          <w:sz w:val="24"/>
          <w:szCs w:val="24"/>
        </w:rPr>
        <w:t xml:space="preserve">. (con la conseguenza che la norma in esame non può essere interpretata in senso eccessivamente restrittivo, in quanto occorre evitare di introdurre freni non necessari alla concorrenza e al principio di massima </w:t>
      </w:r>
      <w:r w:rsidRPr="00101B3F">
        <w:rPr>
          <w:rFonts w:ascii="Times New Roman" w:hAnsi="Times New Roman" w:cs="Times New Roman"/>
          <w:sz w:val="24"/>
          <w:szCs w:val="24"/>
        </w:rPr>
        <w:lastRenderedPageBreak/>
        <w:t xml:space="preserve">partecipazione – v. in tal senso T.A.R. Lombardia, Brescia, sez. II, </w:t>
      </w:r>
      <w:proofErr w:type="spellStart"/>
      <w:r w:rsidRPr="00101B3F">
        <w:rPr>
          <w:rFonts w:ascii="Times New Roman" w:hAnsi="Times New Roman" w:cs="Times New Roman"/>
          <w:sz w:val="24"/>
          <w:szCs w:val="24"/>
        </w:rPr>
        <w:t>ord</w:t>
      </w:r>
      <w:proofErr w:type="spellEnd"/>
      <w:r w:rsidRPr="00101B3F">
        <w:rPr>
          <w:rFonts w:ascii="Times New Roman" w:hAnsi="Times New Roman" w:cs="Times New Roman"/>
          <w:sz w:val="24"/>
          <w:szCs w:val="24"/>
        </w:rPr>
        <w:t xml:space="preserve">. 12.03.2024, n. 89), </w:t>
      </w:r>
      <w:r w:rsidRPr="00101B3F">
        <w:rPr>
          <w:rFonts w:ascii="Times New Roman" w:hAnsi="Times New Roman" w:cs="Times New Roman"/>
          <w:b/>
          <w:bCs/>
          <w:sz w:val="24"/>
          <w:szCs w:val="24"/>
        </w:rPr>
        <w:t>dall’altro tale facoltà deve contemperarsi con la ineludibile tutela dei lavoratori, la quale postula un’attenta disamina da parte della stazione appaltante circa l’equivalenza delle tutele</w:t>
      </w:r>
      <w:r w:rsidRPr="00101B3F">
        <w:rPr>
          <w:rFonts w:ascii="Times New Roman" w:hAnsi="Times New Roman" w:cs="Times New Roman"/>
          <w:sz w:val="24"/>
          <w:szCs w:val="24"/>
        </w:rPr>
        <w:t xml:space="preserve"> (economiche e normative) riconosciute in forza del diverso CCNL prescelto dall’operatore economico.</w:t>
      </w:r>
      <w:r w:rsidRPr="00101B3F">
        <w:rPr>
          <w:rFonts w:ascii="Times New Roman" w:hAnsi="Times New Roman" w:cs="Times New Roman"/>
          <w:sz w:val="24"/>
          <w:szCs w:val="24"/>
        </w:rPr>
        <w:br/>
        <w:t xml:space="preserve">Al fine di precisare il contenuto della suddetta valutazione, </w:t>
      </w:r>
      <w:r w:rsidRPr="00101B3F">
        <w:rPr>
          <w:rFonts w:ascii="Times New Roman" w:hAnsi="Times New Roman" w:cs="Times New Roman"/>
          <w:b/>
          <w:bCs/>
          <w:sz w:val="24"/>
          <w:szCs w:val="24"/>
        </w:rPr>
        <w:t>del resto, </w:t>
      </w:r>
      <w:hyperlink r:id="rId6" w:tgtFrame="_blank" w:history="1">
        <w:r w:rsidRPr="00101B3F">
          <w:rPr>
            <w:rStyle w:val="Collegamentoipertestuale"/>
            <w:rFonts w:ascii="Times New Roman" w:hAnsi="Times New Roman" w:cs="Times New Roman"/>
            <w:b/>
            <w:bCs/>
            <w:color w:val="auto"/>
            <w:sz w:val="24"/>
            <w:szCs w:val="24"/>
            <w:u w:val="none"/>
          </w:rPr>
          <w:t xml:space="preserve">il legislatore è recentemente intervenuto mediante l’art. 2, comma 1, lett. d), </w:t>
        </w:r>
        <w:proofErr w:type="spellStart"/>
        <w:r w:rsidRPr="00101B3F">
          <w:rPr>
            <w:rStyle w:val="Collegamentoipertestuale"/>
            <w:rFonts w:ascii="Times New Roman" w:hAnsi="Times New Roman" w:cs="Times New Roman"/>
            <w:b/>
            <w:bCs/>
            <w:color w:val="auto"/>
            <w:sz w:val="24"/>
            <w:szCs w:val="24"/>
            <w:u w:val="none"/>
          </w:rPr>
          <w:t>D.Lgs.</w:t>
        </w:r>
        <w:proofErr w:type="spellEnd"/>
        <w:r w:rsidRPr="00101B3F">
          <w:rPr>
            <w:rStyle w:val="Collegamentoipertestuale"/>
            <w:rFonts w:ascii="Times New Roman" w:hAnsi="Times New Roman" w:cs="Times New Roman"/>
            <w:b/>
            <w:bCs/>
            <w:color w:val="auto"/>
            <w:sz w:val="24"/>
            <w:szCs w:val="24"/>
            <w:u w:val="none"/>
          </w:rPr>
          <w:t xml:space="preserve"> 31 dicembre 2024, n. 209</w:t>
        </w:r>
      </w:hyperlink>
      <w:r w:rsidRPr="00101B3F">
        <w:rPr>
          <w:rFonts w:ascii="Times New Roman" w:hAnsi="Times New Roman" w:cs="Times New Roman"/>
          <w:b/>
          <w:bCs/>
          <w:sz w:val="24"/>
          <w:szCs w:val="24"/>
        </w:rPr>
        <w:t xml:space="preserve">, che – a far data dal 31.12.2024 – ha così modificato il comma 4 dell’art. 11 </w:t>
      </w:r>
      <w:proofErr w:type="spellStart"/>
      <w:r w:rsidRPr="00101B3F">
        <w:rPr>
          <w:rFonts w:ascii="Times New Roman" w:hAnsi="Times New Roman" w:cs="Times New Roman"/>
          <w:b/>
          <w:bCs/>
          <w:sz w:val="24"/>
          <w:szCs w:val="24"/>
        </w:rPr>
        <w:t>D.Lgs.</w:t>
      </w:r>
      <w:proofErr w:type="spellEnd"/>
      <w:r w:rsidRPr="00101B3F">
        <w:rPr>
          <w:rFonts w:ascii="Times New Roman" w:hAnsi="Times New Roman" w:cs="Times New Roman"/>
          <w:b/>
          <w:bCs/>
          <w:sz w:val="24"/>
          <w:szCs w:val="24"/>
        </w:rPr>
        <w:t xml:space="preserve"> 36/2023: «Nei casi di cui al comma 3, prima di procedere all’affidamento o all’aggiudicazione le stazioni appaltanti e gli enti concedenti acquisiscono la dichiarazione con la quale l’operatore economico individuato si impegna ad applicare il contratto collettivo nazionale e territoriale indicato nell’esecuzione delle prestazioni oggetto del contratto per tutta la sua durata, ovvero la dichiarazione di equivalenza delle tutele. In quest’ultimo caso, la dichiarazione è anche verificata con le modalità di cui all’articolo 110, in conformità all’allegato I.01.». </w:t>
      </w:r>
    </w:p>
    <w:p w14:paraId="7E2B53BE" w14:textId="32CFBE2D" w:rsidR="00014B86" w:rsidRPr="00101B3F" w:rsidRDefault="00671497" w:rsidP="00671497">
      <w:pPr>
        <w:jc w:val="both"/>
        <w:rPr>
          <w:rFonts w:ascii="Times New Roman" w:hAnsi="Times New Roman" w:cs="Times New Roman"/>
          <w:sz w:val="24"/>
          <w:szCs w:val="24"/>
        </w:rPr>
      </w:pPr>
      <w:r w:rsidRPr="00101B3F">
        <w:rPr>
          <w:rFonts w:ascii="Times New Roman" w:hAnsi="Times New Roman" w:cs="Times New Roman"/>
          <w:sz w:val="24"/>
          <w:szCs w:val="24"/>
        </w:rPr>
        <w:t xml:space="preserve">In particolare, </w:t>
      </w:r>
      <w:r w:rsidRPr="00101B3F">
        <w:rPr>
          <w:rFonts w:ascii="Times New Roman" w:hAnsi="Times New Roman" w:cs="Times New Roman"/>
          <w:b/>
          <w:bCs/>
          <w:sz w:val="24"/>
          <w:szCs w:val="24"/>
        </w:rPr>
        <w:t>l’art. 3 del predetto Allegato introduce una espressa presunzione di equivalenza</w:t>
      </w:r>
      <w:r w:rsidRPr="00101B3F">
        <w:rPr>
          <w:rFonts w:ascii="Times New Roman" w:hAnsi="Times New Roman" w:cs="Times New Roman"/>
          <w:sz w:val="24"/>
          <w:szCs w:val="24"/>
        </w:rPr>
        <w:t xml:space="preserve">, </w:t>
      </w:r>
      <w:r w:rsidRPr="00101B3F">
        <w:rPr>
          <w:rFonts w:ascii="Times New Roman" w:hAnsi="Times New Roman" w:cs="Times New Roman"/>
          <w:b/>
          <w:bCs/>
          <w:sz w:val="24"/>
          <w:szCs w:val="24"/>
        </w:rPr>
        <w:t>l’art. 4 precisa i criteri da tenere in considerazione ai fini della verifica di equivalenza</w:t>
      </w:r>
      <w:r w:rsidRPr="00101B3F">
        <w:rPr>
          <w:rFonts w:ascii="Times New Roman" w:hAnsi="Times New Roman" w:cs="Times New Roman"/>
          <w:sz w:val="24"/>
          <w:szCs w:val="24"/>
        </w:rPr>
        <w:t xml:space="preserve"> nell’ipotesi in cui l’anzidetta presunzione non possa trovare applicazione (art. 4 Allegato I.01.6 al </w:t>
      </w:r>
      <w:proofErr w:type="spellStart"/>
      <w:r w:rsidRPr="00101B3F">
        <w:rPr>
          <w:rFonts w:ascii="Times New Roman" w:hAnsi="Times New Roman" w:cs="Times New Roman"/>
          <w:sz w:val="24"/>
          <w:szCs w:val="24"/>
        </w:rPr>
        <w:t>D.Lgs.</w:t>
      </w:r>
      <w:proofErr w:type="spellEnd"/>
      <w:r w:rsidRPr="00101B3F">
        <w:rPr>
          <w:rFonts w:ascii="Times New Roman" w:hAnsi="Times New Roman" w:cs="Times New Roman"/>
          <w:sz w:val="24"/>
          <w:szCs w:val="24"/>
        </w:rPr>
        <w:t xml:space="preserve"> 36/2023) e, infine, l’art. 5 (rubricato “Verifica della dichiarazione di equivalenza”) stabilisce che “1. Per consentire alle stazioni appaltanti ed enti concedenti di verificare la congruità dell’offerta ai sensi dell’articolo 110, gli operatori economici trasmettono la dichiarazione di equivalenza di cui all’articolo 11, comma 4, in sede di presentazione dell’offerta. 2. </w:t>
      </w:r>
      <w:r w:rsidRPr="00101B3F">
        <w:rPr>
          <w:rFonts w:ascii="Times New Roman" w:hAnsi="Times New Roman" w:cs="Times New Roman"/>
          <w:b/>
          <w:bCs/>
          <w:sz w:val="24"/>
          <w:szCs w:val="24"/>
        </w:rPr>
        <w:t>Prima di procedere all’affidamento</w:t>
      </w:r>
      <w:r w:rsidRPr="00101B3F">
        <w:rPr>
          <w:rFonts w:ascii="Times New Roman" w:hAnsi="Times New Roman" w:cs="Times New Roman"/>
          <w:sz w:val="24"/>
          <w:szCs w:val="24"/>
        </w:rPr>
        <w:t xml:space="preserve"> o all’aggiudicazione, la stazione appaltante o l’ente concedente </w:t>
      </w:r>
      <w:r w:rsidRPr="00101B3F">
        <w:rPr>
          <w:rFonts w:ascii="Times New Roman" w:hAnsi="Times New Roman" w:cs="Times New Roman"/>
          <w:b/>
          <w:bCs/>
          <w:sz w:val="24"/>
          <w:szCs w:val="24"/>
        </w:rPr>
        <w:t>verifica</w:t>
      </w:r>
      <w:r w:rsidRPr="00101B3F">
        <w:rPr>
          <w:rFonts w:ascii="Times New Roman" w:hAnsi="Times New Roman" w:cs="Times New Roman"/>
          <w:sz w:val="24"/>
          <w:szCs w:val="24"/>
        </w:rPr>
        <w:t xml:space="preserve"> la dichiarazione di equivalenza presentata dall’operatore economico individuato”.</w:t>
      </w:r>
      <w:r w:rsidRPr="00101B3F">
        <w:rPr>
          <w:rFonts w:ascii="Times New Roman" w:hAnsi="Times New Roman" w:cs="Times New Roman"/>
          <w:sz w:val="24"/>
          <w:szCs w:val="24"/>
        </w:rPr>
        <w:br/>
        <w:t xml:space="preserve">Le disposizioni da ultimo richiamate – ancorché non operanti alla data di svolgimento della procedura evidenziale in esame – </w:t>
      </w:r>
      <w:r w:rsidRPr="00101B3F">
        <w:rPr>
          <w:rFonts w:ascii="Times New Roman" w:hAnsi="Times New Roman" w:cs="Times New Roman"/>
          <w:b/>
          <w:bCs/>
          <w:sz w:val="24"/>
          <w:szCs w:val="24"/>
        </w:rPr>
        <w:t xml:space="preserve">confermano (e precisano) quanto già previsto dal previgente art. 11, comma 4, </w:t>
      </w:r>
      <w:proofErr w:type="spellStart"/>
      <w:r w:rsidRPr="00101B3F">
        <w:rPr>
          <w:rFonts w:ascii="Times New Roman" w:hAnsi="Times New Roman" w:cs="Times New Roman"/>
          <w:b/>
          <w:bCs/>
          <w:sz w:val="24"/>
          <w:szCs w:val="24"/>
        </w:rPr>
        <w:t>D.Lgs.</w:t>
      </w:r>
      <w:proofErr w:type="spellEnd"/>
      <w:r w:rsidRPr="00101B3F">
        <w:rPr>
          <w:rFonts w:ascii="Times New Roman" w:hAnsi="Times New Roman" w:cs="Times New Roman"/>
          <w:b/>
          <w:bCs/>
          <w:sz w:val="24"/>
          <w:szCs w:val="24"/>
        </w:rPr>
        <w:t xml:space="preserve"> 36/2023, ossia come la determinazione di affidamento/aggiudicazione debba necessariamente essere preceduta dalla verifica della dichiarazione di equivalenza, la quale assume, pertanto, carattere obbligatorio</w:t>
      </w:r>
      <w:r w:rsidRPr="00101B3F">
        <w:rPr>
          <w:rFonts w:ascii="Times New Roman" w:hAnsi="Times New Roman" w:cs="Times New Roman"/>
          <w:sz w:val="24"/>
          <w:szCs w:val="24"/>
        </w:rPr>
        <w:t>.</w:t>
      </w:r>
      <w:r w:rsidRPr="00101B3F">
        <w:rPr>
          <w:rFonts w:ascii="Times New Roman" w:hAnsi="Times New Roman" w:cs="Times New Roman"/>
          <w:sz w:val="24"/>
          <w:szCs w:val="24"/>
        </w:rPr>
        <w:br/>
      </w:r>
      <w:r w:rsidRPr="00101B3F">
        <w:rPr>
          <w:rFonts w:ascii="Times New Roman" w:hAnsi="Times New Roman" w:cs="Times New Roman"/>
          <w:b/>
          <w:bCs/>
          <w:sz w:val="24"/>
          <w:szCs w:val="24"/>
        </w:rPr>
        <w:t>Nella fattispecie di cui è causa tale adempimento risulta, per converso, del tutto omesso, non essendovi traccia, né nei verbali di gara né nella determinazione di affidamento, dell’effettivo espletamento della verifica relativa al contenuto della dichiarazione di equivalenza resa dalla controinteressata.</w:t>
      </w:r>
      <w:r w:rsidRPr="00101B3F">
        <w:rPr>
          <w:rFonts w:ascii="Times New Roman" w:hAnsi="Times New Roman" w:cs="Times New Roman"/>
          <w:b/>
          <w:bCs/>
          <w:sz w:val="24"/>
          <w:szCs w:val="24"/>
        </w:rPr>
        <w:br/>
      </w:r>
      <w:r w:rsidRPr="00101B3F">
        <w:rPr>
          <w:rFonts w:ascii="Times New Roman" w:hAnsi="Times New Roman" w:cs="Times New Roman"/>
          <w:sz w:val="24"/>
          <w:szCs w:val="24"/>
        </w:rPr>
        <w:t xml:space="preserve">Pertanto, in disparte la fondatezza della lamentata carenza del requisito dell’equivalenza delle tutele tra il CCNL applicato dalla controinteressata e quello individuato dall’ente concedente (il cui vaglio è precluso a questo Giudice, trattandosi di potere amministrativo non ancora esercitato – v. art. 34, comma 2, </w:t>
      </w:r>
      <w:proofErr w:type="spellStart"/>
      <w:r w:rsidRPr="00101B3F">
        <w:rPr>
          <w:rFonts w:ascii="Times New Roman" w:hAnsi="Times New Roman" w:cs="Times New Roman"/>
          <w:sz w:val="24"/>
          <w:szCs w:val="24"/>
        </w:rPr>
        <w:t>c.p.a</w:t>
      </w:r>
      <w:proofErr w:type="spellEnd"/>
      <w:r w:rsidRPr="00101B3F">
        <w:rPr>
          <w:rFonts w:ascii="Times New Roman" w:hAnsi="Times New Roman" w:cs="Times New Roman"/>
          <w:sz w:val="24"/>
          <w:szCs w:val="24"/>
        </w:rPr>
        <w:t>.), il motivo di ricorso in esame è fondato, nei termini sin qui precisati.</w:t>
      </w:r>
    </w:p>
    <w:p w14:paraId="2940E75B" w14:textId="4843FEAF" w:rsidR="00671497" w:rsidRPr="00101B3F" w:rsidRDefault="00671497" w:rsidP="00671497">
      <w:pPr>
        <w:jc w:val="both"/>
        <w:rPr>
          <w:rFonts w:ascii="Times New Roman" w:hAnsi="Times New Roman" w:cs="Times New Roman"/>
          <w:sz w:val="24"/>
          <w:szCs w:val="24"/>
        </w:rPr>
      </w:pPr>
      <w:r w:rsidRPr="00101B3F">
        <w:rPr>
          <w:rFonts w:ascii="Times New Roman" w:hAnsi="Times New Roman" w:cs="Times New Roman"/>
          <w:sz w:val="24"/>
          <w:szCs w:val="24"/>
        </w:rPr>
        <w:t xml:space="preserve">________________________ </w:t>
      </w:r>
    </w:p>
    <w:p w14:paraId="5DD120F5" w14:textId="5C9EBABD" w:rsidR="0085097A" w:rsidRPr="00101B3F" w:rsidRDefault="0085097A" w:rsidP="00671497">
      <w:pPr>
        <w:jc w:val="both"/>
        <w:rPr>
          <w:rFonts w:ascii="Times New Roman" w:hAnsi="Times New Roman" w:cs="Times New Roman"/>
          <w:b/>
          <w:bCs/>
          <w:sz w:val="24"/>
          <w:szCs w:val="24"/>
        </w:rPr>
      </w:pPr>
      <w:r w:rsidRPr="00101B3F">
        <w:rPr>
          <w:rFonts w:ascii="Times New Roman" w:hAnsi="Times New Roman" w:cs="Times New Roman"/>
          <w:b/>
          <w:bCs/>
          <w:sz w:val="24"/>
          <w:szCs w:val="24"/>
        </w:rPr>
        <w:t>Tar Toscana, Firenze, Sez. I, 3.02.2025, n. 173</w:t>
      </w:r>
    </w:p>
    <w:p w14:paraId="450A751A" w14:textId="75E9556E" w:rsidR="0085097A" w:rsidRPr="00101B3F" w:rsidRDefault="0085097A" w:rsidP="00671497">
      <w:pPr>
        <w:jc w:val="both"/>
        <w:rPr>
          <w:rFonts w:ascii="Times New Roman" w:hAnsi="Times New Roman" w:cs="Times New Roman"/>
          <w:b/>
          <w:bCs/>
          <w:i/>
          <w:iCs/>
          <w:sz w:val="24"/>
          <w:szCs w:val="24"/>
        </w:rPr>
      </w:pPr>
      <w:r w:rsidRPr="00101B3F">
        <w:rPr>
          <w:rFonts w:ascii="Times New Roman" w:hAnsi="Times New Roman" w:cs="Times New Roman"/>
          <w:b/>
          <w:bCs/>
          <w:i/>
          <w:iCs/>
          <w:sz w:val="24"/>
          <w:szCs w:val="24"/>
        </w:rPr>
        <w:t>Sul subprocedimento di verifica della dichiarazione di equivalenza</w:t>
      </w:r>
    </w:p>
    <w:p w14:paraId="39678DE5" w14:textId="67EF2E53" w:rsidR="00671497" w:rsidRPr="00101B3F" w:rsidRDefault="0085097A" w:rsidP="00671497">
      <w:pPr>
        <w:jc w:val="both"/>
        <w:rPr>
          <w:rFonts w:ascii="Times New Roman" w:hAnsi="Times New Roman" w:cs="Times New Roman"/>
          <w:sz w:val="24"/>
          <w:szCs w:val="24"/>
        </w:rPr>
      </w:pPr>
      <w:r w:rsidRPr="00101B3F">
        <w:rPr>
          <w:rFonts w:ascii="Times New Roman" w:hAnsi="Times New Roman" w:cs="Times New Roman"/>
          <w:sz w:val="24"/>
          <w:szCs w:val="24"/>
        </w:rPr>
        <w:t>Sul punto, la relazione illustrativa allegata al bando tipo n. 1/2023, richiamata dalla stessa stazione appaltante nella richiesta di giustificazioni, prendendo a riferimento i parametri individuati dalla circolare dell’Ispettorato Nazionale del Lavoro (INL) n. 2 del 28.07.2020, prevede quanto segue: “</w:t>
      </w:r>
      <w:r w:rsidRPr="00101B3F">
        <w:rPr>
          <w:rFonts w:ascii="Times New Roman" w:hAnsi="Times New Roman" w:cs="Times New Roman"/>
          <w:i/>
          <w:iCs/>
          <w:sz w:val="24"/>
          <w:szCs w:val="24"/>
        </w:rPr>
        <w:t xml:space="preserve">La valutazione deve necessariamente avere ad oggetto </w:t>
      </w:r>
      <w:r w:rsidRPr="00101B3F">
        <w:rPr>
          <w:rFonts w:ascii="Times New Roman" w:hAnsi="Times New Roman" w:cs="Times New Roman"/>
          <w:b/>
          <w:bCs/>
          <w:i/>
          <w:iCs/>
          <w:sz w:val="24"/>
          <w:szCs w:val="24"/>
        </w:rPr>
        <w:t>sia le tutele economiche che quelle normative</w:t>
      </w:r>
      <w:r w:rsidRPr="00101B3F">
        <w:rPr>
          <w:rFonts w:ascii="Times New Roman" w:hAnsi="Times New Roman" w:cs="Times New Roman"/>
          <w:i/>
          <w:iCs/>
          <w:sz w:val="24"/>
          <w:szCs w:val="24"/>
        </w:rPr>
        <w:t xml:space="preserve"> in quanto complesso inscindibile. Si suggerisce di effettuare dapprima la valutazione </w:t>
      </w:r>
      <w:r w:rsidRPr="00101B3F">
        <w:rPr>
          <w:rFonts w:ascii="Times New Roman" w:hAnsi="Times New Roman" w:cs="Times New Roman"/>
          <w:b/>
          <w:bCs/>
          <w:i/>
          <w:iCs/>
          <w:sz w:val="24"/>
          <w:szCs w:val="24"/>
        </w:rPr>
        <w:t>dell’equivalenza economica</w:t>
      </w:r>
      <w:r w:rsidRPr="00101B3F">
        <w:rPr>
          <w:rFonts w:ascii="Times New Roman" w:hAnsi="Times New Roman" w:cs="Times New Roman"/>
          <w:i/>
          <w:iCs/>
          <w:sz w:val="24"/>
          <w:szCs w:val="24"/>
        </w:rPr>
        <w:t xml:space="preserve"> dei contratti, prendendo a riferimento le </w:t>
      </w:r>
      <w:r w:rsidRPr="00101B3F">
        <w:rPr>
          <w:rFonts w:ascii="Times New Roman" w:hAnsi="Times New Roman" w:cs="Times New Roman"/>
          <w:b/>
          <w:bCs/>
          <w:i/>
          <w:iCs/>
          <w:sz w:val="24"/>
          <w:szCs w:val="24"/>
        </w:rPr>
        <w:t xml:space="preserve">componenti fisse della </w:t>
      </w:r>
      <w:r w:rsidRPr="00101B3F">
        <w:rPr>
          <w:rFonts w:ascii="Times New Roman" w:hAnsi="Times New Roman" w:cs="Times New Roman"/>
          <w:b/>
          <w:bCs/>
          <w:i/>
          <w:iCs/>
          <w:sz w:val="24"/>
          <w:szCs w:val="24"/>
        </w:rPr>
        <w:lastRenderedPageBreak/>
        <w:t>retribuzione globale annua costituite dalle seguenti voci</w:t>
      </w:r>
      <w:r w:rsidRPr="00101B3F">
        <w:rPr>
          <w:rFonts w:ascii="Times New Roman" w:hAnsi="Times New Roman" w:cs="Times New Roman"/>
          <w:i/>
          <w:iCs/>
          <w:sz w:val="24"/>
          <w:szCs w:val="24"/>
        </w:rPr>
        <w:t xml:space="preserve">: retribuzione tabellare annuale; indennità di contingenza; Elemento Distinto della Retribuzione – EDR - a cui vanno sommate le eventuali mensilità aggiuntive (tredicesima e quattordicesima), nonché ulteriori indennità previste. Quanto alla valutazione di </w:t>
      </w:r>
      <w:r w:rsidRPr="00101B3F">
        <w:rPr>
          <w:rFonts w:ascii="Times New Roman" w:hAnsi="Times New Roman" w:cs="Times New Roman"/>
          <w:b/>
          <w:bCs/>
          <w:i/>
          <w:iCs/>
          <w:sz w:val="24"/>
          <w:szCs w:val="24"/>
        </w:rPr>
        <w:t>equivalenza delle tutele normative</w:t>
      </w:r>
      <w:r w:rsidRPr="00101B3F">
        <w:rPr>
          <w:rFonts w:ascii="Times New Roman" w:hAnsi="Times New Roman" w:cs="Times New Roman"/>
          <w:i/>
          <w:iCs/>
          <w:sz w:val="24"/>
          <w:szCs w:val="24"/>
        </w:rPr>
        <w:t xml:space="preserve"> sono presi a riferimento i </w:t>
      </w:r>
      <w:r w:rsidRPr="00101B3F">
        <w:rPr>
          <w:rFonts w:ascii="Times New Roman" w:hAnsi="Times New Roman" w:cs="Times New Roman"/>
          <w:b/>
          <w:bCs/>
          <w:i/>
          <w:iCs/>
          <w:sz w:val="24"/>
          <w:szCs w:val="24"/>
        </w:rPr>
        <w:t>parametri relativi a</w:t>
      </w:r>
      <w:r w:rsidRPr="00101B3F">
        <w:rPr>
          <w:rFonts w:ascii="Times New Roman" w:hAnsi="Times New Roman" w:cs="Times New Roman"/>
          <w:i/>
          <w:iCs/>
          <w:sz w:val="24"/>
          <w:szCs w:val="24"/>
        </w:rPr>
        <w:t>: - la disciplina concernente il lavoro supplementare e le clausole elastiche nel part-time; -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 la disciplina compensativa delle ex festività soppresse, che normalmente avviene attraverso il riconoscimento di permessi individuali; - la durata del periodo di prova; - la durata del periodo di preavviso; - durata del periodo di comporto in caso di malattia e infortunio; - malattia e infortunio, con particolare riferimento al riconoscimento di un’eventuale integrazione delle relative indennità; - maternità ed eventuale riconoscimento di un’integrazione della relativa indennità per astensione obbligatoria e facoltativa; - monte ore di permessi retribuiti; - bilateralità; - previdenza integrativa; - sanità integrativa</w:t>
      </w:r>
      <w:r w:rsidRPr="00101B3F">
        <w:rPr>
          <w:rFonts w:ascii="Times New Roman" w:hAnsi="Times New Roman" w:cs="Times New Roman"/>
          <w:sz w:val="24"/>
          <w:szCs w:val="24"/>
        </w:rPr>
        <w:t>”, con la precisazione che “</w:t>
      </w:r>
      <w:r w:rsidRPr="00101B3F">
        <w:rPr>
          <w:rFonts w:ascii="Times New Roman" w:hAnsi="Times New Roman" w:cs="Times New Roman"/>
          <w:b/>
          <w:bCs/>
          <w:i/>
          <w:iCs/>
          <w:sz w:val="24"/>
          <w:szCs w:val="24"/>
        </w:rPr>
        <w:t>La stazione appaltante può ritenere sussistente l’equivalenza in caso di scostamenti marginali in un numero limitato di parametri</w:t>
      </w:r>
      <w:r w:rsidRPr="00101B3F">
        <w:rPr>
          <w:rFonts w:ascii="Times New Roman" w:hAnsi="Times New Roman" w:cs="Times New Roman"/>
          <w:i/>
          <w:iCs/>
          <w:sz w:val="24"/>
          <w:szCs w:val="24"/>
        </w:rPr>
        <w:t xml:space="preserve">. Sul punto, si evidenzia che la richiamata Circolare dell’INL individua un primo elenco di nove istituti sui quali effettuare la verifica di equivalenza dei trattamenti normativi, ritenendo ammissibile lo scostamento limitato ad un solo parametro. Pertanto, considerato che l’elenco su proposto è più ampio, si può ritenere ammissibile, di regola, uno scostamento limitato </w:t>
      </w:r>
      <w:r w:rsidRPr="00101B3F">
        <w:rPr>
          <w:rFonts w:ascii="Times New Roman" w:hAnsi="Times New Roman" w:cs="Times New Roman"/>
          <w:b/>
          <w:bCs/>
          <w:i/>
          <w:iCs/>
          <w:sz w:val="24"/>
          <w:szCs w:val="24"/>
        </w:rPr>
        <w:t>a soli due parametri</w:t>
      </w:r>
      <w:r w:rsidRPr="00101B3F">
        <w:rPr>
          <w:rFonts w:ascii="Times New Roman" w:hAnsi="Times New Roman" w:cs="Times New Roman"/>
          <w:sz w:val="24"/>
          <w:szCs w:val="24"/>
        </w:rPr>
        <w:t>”.</w:t>
      </w:r>
    </w:p>
    <w:p w14:paraId="076B2C49" w14:textId="589A1325" w:rsidR="0085097A" w:rsidRPr="00101B3F" w:rsidRDefault="0085097A" w:rsidP="00671497">
      <w:pPr>
        <w:jc w:val="both"/>
        <w:rPr>
          <w:rFonts w:ascii="Times New Roman" w:hAnsi="Times New Roman" w:cs="Times New Roman"/>
          <w:sz w:val="24"/>
          <w:szCs w:val="24"/>
        </w:rPr>
      </w:pPr>
      <w:r w:rsidRPr="00101B3F">
        <w:rPr>
          <w:rFonts w:ascii="Times New Roman" w:hAnsi="Times New Roman" w:cs="Times New Roman"/>
          <w:sz w:val="24"/>
          <w:szCs w:val="24"/>
        </w:rPr>
        <w:t>Ora, il compito del Collegio è quello di valutare se l’attività istruttoria condotta dal RUP sia corretta e se il risultato al quale egli è pervenuto non sia irragionevole, illogico o viziato da travisamento dei fatti.</w:t>
      </w:r>
    </w:p>
    <w:p w14:paraId="063655A1" w14:textId="77777777" w:rsidR="0085097A" w:rsidRPr="00101B3F" w:rsidRDefault="0085097A" w:rsidP="0085097A">
      <w:pPr>
        <w:jc w:val="both"/>
        <w:rPr>
          <w:rFonts w:ascii="Times New Roman" w:hAnsi="Times New Roman" w:cs="Times New Roman"/>
          <w:sz w:val="24"/>
          <w:szCs w:val="24"/>
        </w:rPr>
      </w:pPr>
      <w:r w:rsidRPr="00101B3F">
        <w:rPr>
          <w:rFonts w:ascii="Times New Roman" w:hAnsi="Times New Roman" w:cs="Times New Roman"/>
          <w:sz w:val="24"/>
          <w:szCs w:val="24"/>
        </w:rPr>
        <w:t>per quanto riguarda la specifica attività di verifica del RUP sulla dichiarazione di equivalenza delle tutele, la giurisprudenza ha già avuto modo di chiarire che occorre evitare di introdurre freni non necessari alla concorrenza, che potrebbero ostacolare il raggiungimento della massima partecipazione e che pertanto si ritiene che un’impresa possa mantenere il proprio CCNL anche in una gara che in base alle ripartizioni della contrattazione collettiva si collocherebbe in un altro settore economico, purché, secondo una valutazione complessiva, giuridica ed economica, sussistano i seguenti requisiti: </w:t>
      </w:r>
      <w:r w:rsidRPr="00101B3F">
        <w:rPr>
          <w:rFonts w:ascii="Times New Roman" w:hAnsi="Times New Roman" w:cs="Times New Roman"/>
          <w:i/>
          <w:iCs/>
          <w:sz w:val="24"/>
          <w:szCs w:val="24"/>
        </w:rPr>
        <w:t>“(i) il trattamento dei lavoratori impiegati in tale gara non sia eccessivamente inferiore a quello dei CCNL individuati dalla stazione appaltante; (ii) vi sia corrispondenza, o almeno confrontabilità, tra le mansioni del CCNL applicato e le lavorazioni oggetto dell’appalto</w:t>
      </w:r>
      <w:r w:rsidRPr="00101B3F">
        <w:rPr>
          <w:rFonts w:ascii="Times New Roman" w:hAnsi="Times New Roman" w:cs="Times New Roman"/>
          <w:sz w:val="24"/>
          <w:szCs w:val="24"/>
        </w:rPr>
        <w:t>”, specificando che “</w:t>
      </w:r>
      <w:r w:rsidRPr="00101B3F">
        <w:rPr>
          <w:rFonts w:ascii="Times New Roman" w:hAnsi="Times New Roman" w:cs="Times New Roman"/>
          <w:i/>
          <w:iCs/>
          <w:sz w:val="24"/>
          <w:szCs w:val="24"/>
        </w:rPr>
        <w:t>L’equivalenza dei CCNL non richiede la parità di retribuzione. Una simile condizione sarebbe impossibile, data la varietà di contenuti normalmente osservabile nei diversi settori della contrattazione collettiva, e anche discriminatoria, avendo quale risultato l’imposizione dei soli CCNL presi come riferimento negli atti di gara. A sua volta, il numero chiuso dei CCNL determinerebbe effetti anticoncorrenziali, deprimendo la partecipazione</w:t>
      </w:r>
      <w:r w:rsidRPr="00101B3F">
        <w:rPr>
          <w:rFonts w:ascii="Times New Roman" w:hAnsi="Times New Roman" w:cs="Times New Roman"/>
          <w:sz w:val="24"/>
          <w:szCs w:val="24"/>
        </w:rPr>
        <w:t>” (T.A.R. Lombardia, Brescia, sez. II, 1° ottobre 2024, n. 773).</w:t>
      </w:r>
    </w:p>
    <w:p w14:paraId="6D7FC705" w14:textId="77777777" w:rsidR="0085097A" w:rsidRPr="00101B3F" w:rsidRDefault="0085097A" w:rsidP="0085097A">
      <w:pPr>
        <w:jc w:val="both"/>
        <w:rPr>
          <w:rFonts w:ascii="Times New Roman" w:hAnsi="Times New Roman" w:cs="Times New Roman"/>
          <w:sz w:val="24"/>
          <w:szCs w:val="24"/>
        </w:rPr>
      </w:pPr>
      <w:r w:rsidRPr="00101B3F">
        <w:rPr>
          <w:rFonts w:ascii="Times New Roman" w:hAnsi="Times New Roman" w:cs="Times New Roman"/>
          <w:sz w:val="24"/>
          <w:szCs w:val="24"/>
        </w:rPr>
        <w:t>Alla luce delle coordinate ermeneutiche sopra evidenziate, e tenuto conto di tutta la documentazione tecnica fornita dalla controinteressata (ivi compreso il parere </w:t>
      </w:r>
      <w:r w:rsidRPr="00101B3F">
        <w:rPr>
          <w:rFonts w:ascii="Times New Roman" w:hAnsi="Times New Roman" w:cs="Times New Roman"/>
          <w:i/>
          <w:iCs/>
          <w:sz w:val="24"/>
          <w:szCs w:val="24"/>
        </w:rPr>
        <w:t>pro-</w:t>
      </w:r>
      <w:proofErr w:type="spellStart"/>
      <w:r w:rsidRPr="00101B3F">
        <w:rPr>
          <w:rFonts w:ascii="Times New Roman" w:hAnsi="Times New Roman" w:cs="Times New Roman"/>
          <w:i/>
          <w:iCs/>
          <w:sz w:val="24"/>
          <w:szCs w:val="24"/>
        </w:rPr>
        <w:t>veritate</w:t>
      </w:r>
      <w:proofErr w:type="spellEnd"/>
      <w:r w:rsidRPr="00101B3F">
        <w:rPr>
          <w:rFonts w:ascii="Times New Roman" w:hAnsi="Times New Roman" w:cs="Times New Roman"/>
          <w:sz w:val="24"/>
          <w:szCs w:val="24"/>
        </w:rPr>
        <w:t>), nonché della puntuale relazione del consulente del lavoro del RUP, Alessandro Agostini, il Collegio ritiene che il risultato al quale è pervenuto il RUP, non sia né irragionevole, né illogico o abnorme.</w:t>
      </w:r>
    </w:p>
    <w:p w14:paraId="17C9EA25" w14:textId="6B0E4AE5" w:rsidR="001147E9" w:rsidRPr="00101B3F" w:rsidRDefault="001147E9" w:rsidP="0085097A">
      <w:pPr>
        <w:jc w:val="both"/>
        <w:rPr>
          <w:rFonts w:ascii="Times New Roman" w:hAnsi="Times New Roman" w:cs="Times New Roman"/>
          <w:sz w:val="24"/>
          <w:szCs w:val="24"/>
        </w:rPr>
      </w:pPr>
      <w:r w:rsidRPr="00101B3F">
        <w:rPr>
          <w:rFonts w:ascii="Times New Roman" w:hAnsi="Times New Roman" w:cs="Times New Roman"/>
          <w:sz w:val="24"/>
          <w:szCs w:val="24"/>
        </w:rPr>
        <w:t xml:space="preserve">_______________________- </w:t>
      </w:r>
    </w:p>
    <w:p w14:paraId="7FD1FBCC" w14:textId="77777777" w:rsidR="0000188F" w:rsidRDefault="0000188F" w:rsidP="0085097A">
      <w:pPr>
        <w:jc w:val="both"/>
        <w:rPr>
          <w:rFonts w:ascii="Times New Roman" w:hAnsi="Times New Roman" w:cs="Times New Roman"/>
          <w:b/>
          <w:bCs/>
          <w:sz w:val="24"/>
          <w:szCs w:val="24"/>
        </w:rPr>
      </w:pPr>
    </w:p>
    <w:p w14:paraId="4FB9D7A1" w14:textId="5BFFCFC1" w:rsidR="001147E9" w:rsidRPr="00101B3F" w:rsidRDefault="001147E9" w:rsidP="0085097A">
      <w:pPr>
        <w:jc w:val="both"/>
        <w:rPr>
          <w:rFonts w:ascii="Times New Roman" w:hAnsi="Times New Roman" w:cs="Times New Roman"/>
          <w:b/>
          <w:bCs/>
          <w:sz w:val="24"/>
          <w:szCs w:val="24"/>
        </w:rPr>
      </w:pPr>
      <w:r w:rsidRPr="00101B3F">
        <w:rPr>
          <w:rFonts w:ascii="Times New Roman" w:hAnsi="Times New Roman" w:cs="Times New Roman"/>
          <w:b/>
          <w:bCs/>
          <w:sz w:val="24"/>
          <w:szCs w:val="24"/>
        </w:rPr>
        <w:lastRenderedPageBreak/>
        <w:t>Tar Piemonte, Torino, Sez. I, 25.11.2024, n. 122</w:t>
      </w:r>
    </w:p>
    <w:p w14:paraId="5AA702B2" w14:textId="1A8CC460" w:rsidR="001147E9" w:rsidRPr="00101B3F" w:rsidRDefault="001147E9" w:rsidP="0085097A">
      <w:pPr>
        <w:jc w:val="both"/>
        <w:rPr>
          <w:rFonts w:ascii="Times New Roman" w:hAnsi="Times New Roman" w:cs="Times New Roman"/>
          <w:b/>
          <w:bCs/>
          <w:i/>
          <w:iCs/>
          <w:sz w:val="24"/>
          <w:szCs w:val="24"/>
        </w:rPr>
      </w:pPr>
      <w:r w:rsidRPr="00101B3F">
        <w:rPr>
          <w:rFonts w:ascii="Times New Roman" w:hAnsi="Times New Roman" w:cs="Times New Roman"/>
          <w:b/>
          <w:bCs/>
          <w:i/>
          <w:iCs/>
          <w:sz w:val="24"/>
          <w:szCs w:val="24"/>
        </w:rPr>
        <w:t>Sulla legittimità del soccorso istruttorio, in caso di assenza della dichiarazione di equivalenza</w:t>
      </w:r>
    </w:p>
    <w:p w14:paraId="7D96E96D" w14:textId="311A4189" w:rsidR="001147E9" w:rsidRPr="004709D3" w:rsidRDefault="001147E9" w:rsidP="001147E9">
      <w:pPr>
        <w:jc w:val="both"/>
        <w:rPr>
          <w:rFonts w:ascii="Times New Roman" w:hAnsi="Times New Roman" w:cs="Times New Roman"/>
          <w:b/>
          <w:bCs/>
          <w:sz w:val="24"/>
          <w:szCs w:val="24"/>
        </w:rPr>
      </w:pPr>
      <w:r w:rsidRPr="00101B3F">
        <w:rPr>
          <w:rFonts w:ascii="Times New Roman" w:hAnsi="Times New Roman" w:cs="Times New Roman"/>
          <w:sz w:val="24"/>
          <w:szCs w:val="24"/>
        </w:rPr>
        <w:t xml:space="preserve">Quindi quanto contestato, l’assenza di indicazione dell’applicazione del </w:t>
      </w:r>
      <w:proofErr w:type="spellStart"/>
      <w:r w:rsidRPr="00101B3F">
        <w:rPr>
          <w:rFonts w:ascii="Times New Roman" w:hAnsi="Times New Roman" w:cs="Times New Roman"/>
          <w:sz w:val="24"/>
          <w:szCs w:val="24"/>
        </w:rPr>
        <w:t>ccnl</w:t>
      </w:r>
      <w:proofErr w:type="spellEnd"/>
      <w:r w:rsidRPr="00101B3F">
        <w:rPr>
          <w:rFonts w:ascii="Times New Roman" w:hAnsi="Times New Roman" w:cs="Times New Roman"/>
          <w:sz w:val="24"/>
          <w:szCs w:val="24"/>
        </w:rPr>
        <w:t xml:space="preserve"> dei lavoratori dell’edilizia e la dichiarazione di equivalenza</w:t>
      </w:r>
      <w:r w:rsidR="00656217">
        <w:rPr>
          <w:rFonts w:ascii="Times New Roman" w:hAnsi="Times New Roman" w:cs="Times New Roman"/>
          <w:sz w:val="24"/>
          <w:szCs w:val="24"/>
        </w:rPr>
        <w:t xml:space="preserve"> </w:t>
      </w:r>
      <w:r w:rsidRPr="00101B3F">
        <w:rPr>
          <w:rFonts w:ascii="Times New Roman" w:hAnsi="Times New Roman" w:cs="Times New Roman"/>
          <w:sz w:val="24"/>
          <w:szCs w:val="24"/>
        </w:rPr>
        <w:t xml:space="preserve">del </w:t>
      </w:r>
      <w:proofErr w:type="spellStart"/>
      <w:r w:rsidRPr="00101B3F">
        <w:rPr>
          <w:rFonts w:ascii="Times New Roman" w:hAnsi="Times New Roman" w:cs="Times New Roman"/>
          <w:sz w:val="24"/>
          <w:szCs w:val="24"/>
        </w:rPr>
        <w:t>ccnl</w:t>
      </w:r>
      <w:proofErr w:type="spellEnd"/>
      <w:r w:rsidRPr="00101B3F">
        <w:rPr>
          <w:rFonts w:ascii="Times New Roman" w:hAnsi="Times New Roman" w:cs="Times New Roman"/>
          <w:sz w:val="24"/>
          <w:szCs w:val="24"/>
        </w:rPr>
        <w:t xml:space="preserve"> applicato dal concorrente, </w:t>
      </w:r>
      <w:r w:rsidRPr="004709D3">
        <w:rPr>
          <w:rFonts w:ascii="Times New Roman" w:hAnsi="Times New Roman" w:cs="Times New Roman"/>
          <w:b/>
          <w:bCs/>
          <w:sz w:val="24"/>
          <w:szCs w:val="24"/>
        </w:rPr>
        <w:t>non è causa di esclusione.</w:t>
      </w:r>
    </w:p>
    <w:p w14:paraId="2185E9B8" w14:textId="77777777" w:rsidR="001147E9" w:rsidRPr="00101B3F" w:rsidRDefault="001147E9" w:rsidP="001147E9">
      <w:pPr>
        <w:jc w:val="both"/>
        <w:rPr>
          <w:rFonts w:ascii="Times New Roman" w:hAnsi="Times New Roman" w:cs="Times New Roman"/>
          <w:sz w:val="24"/>
          <w:szCs w:val="24"/>
        </w:rPr>
      </w:pPr>
      <w:r w:rsidRPr="00101B3F">
        <w:rPr>
          <w:rFonts w:ascii="Times New Roman" w:hAnsi="Times New Roman" w:cs="Times New Roman"/>
          <w:sz w:val="24"/>
          <w:szCs w:val="24"/>
        </w:rPr>
        <w:t>Ora l’art. 11 co. 4 del d. lgs. 36 del 2023 prevede che “Nei casi di cui al comma 3</w:t>
      </w:r>
      <w:r w:rsidRPr="004709D3">
        <w:rPr>
          <w:rFonts w:ascii="Times New Roman" w:hAnsi="Times New Roman" w:cs="Times New Roman"/>
          <w:b/>
          <w:bCs/>
          <w:sz w:val="24"/>
          <w:szCs w:val="24"/>
        </w:rPr>
        <w:t>, prima di procedere all'affidamento o all'aggiudicazione</w:t>
      </w:r>
      <w:r w:rsidRPr="00101B3F">
        <w:rPr>
          <w:rFonts w:ascii="Times New Roman" w:hAnsi="Times New Roman" w:cs="Times New Roman"/>
          <w:sz w:val="24"/>
          <w:szCs w:val="24"/>
        </w:rPr>
        <w:t xml:space="preserve"> le stazioni appaltanti e gli enti concedenti </w:t>
      </w:r>
      <w:r w:rsidRPr="004709D3">
        <w:rPr>
          <w:rFonts w:ascii="Times New Roman" w:hAnsi="Times New Roman" w:cs="Times New Roman"/>
          <w:b/>
          <w:bCs/>
          <w:sz w:val="24"/>
          <w:szCs w:val="24"/>
        </w:rPr>
        <w:t>acquisiscono la dichiarazione</w:t>
      </w:r>
      <w:r w:rsidRPr="00101B3F">
        <w:rPr>
          <w:rFonts w:ascii="Times New Roman" w:hAnsi="Times New Roman" w:cs="Times New Roman"/>
          <w:sz w:val="24"/>
          <w:szCs w:val="24"/>
        </w:rPr>
        <w:t xml:space="preserve"> con la quale l'operatore economico individuato si impegna ad applicare il contratto collettivo nazionale e territoriale indicato nell'esecuzione delle prestazioni oggetto del contratto per tutta la sua durata, ovvero la dichiarazione di equivalenza delle tutele. In quest'ultimo caso, la dichiarazione è anche verificata con le modalità di cui all'articolo 110”, e l’art. 101 co. 3 recita “La stazione appaltante </w:t>
      </w:r>
      <w:r w:rsidRPr="004709D3">
        <w:rPr>
          <w:rFonts w:ascii="Times New Roman" w:hAnsi="Times New Roman" w:cs="Times New Roman"/>
          <w:b/>
          <w:bCs/>
          <w:sz w:val="24"/>
          <w:szCs w:val="24"/>
        </w:rPr>
        <w:t>può sempre richiedere chiarimenti sui contenuti dell'offerta tecnica e dell'offerta economica e su ogni loro allegato</w:t>
      </w:r>
      <w:r w:rsidRPr="00101B3F">
        <w:rPr>
          <w:rFonts w:ascii="Times New Roman" w:hAnsi="Times New Roman" w:cs="Times New Roman"/>
          <w:sz w:val="24"/>
          <w:szCs w:val="24"/>
        </w:rPr>
        <w:t>. L'operatore economico è tenuto a fornire risposta nel termine fissato dalla stazione appaltante, che non può essere inferiore a cinque giorni e superiore a dieci giorni. I chiarimenti resi dall'operatore economico non possono modificare il contenuto dell'offerta tecnica e dell'offerta economica”.</w:t>
      </w:r>
    </w:p>
    <w:p w14:paraId="2963F9B5" w14:textId="77777777" w:rsidR="001147E9" w:rsidRPr="004709D3" w:rsidRDefault="001147E9" w:rsidP="001147E9">
      <w:pPr>
        <w:jc w:val="both"/>
        <w:rPr>
          <w:rFonts w:ascii="Times New Roman" w:hAnsi="Times New Roman" w:cs="Times New Roman"/>
          <w:b/>
          <w:bCs/>
          <w:sz w:val="24"/>
          <w:szCs w:val="24"/>
        </w:rPr>
      </w:pPr>
      <w:r w:rsidRPr="00101B3F">
        <w:rPr>
          <w:rFonts w:ascii="Times New Roman" w:hAnsi="Times New Roman" w:cs="Times New Roman"/>
          <w:sz w:val="24"/>
          <w:szCs w:val="24"/>
        </w:rPr>
        <w:t xml:space="preserve">Tale previsione può ritenersi suffragata dalla nota illustrativa dell’ANAC sul Bando Tipo 1/2023, in cui è precisato “che l’articolo 11 del Codice richiede la verifica dell’equivalenza delle garanzie solo sull’operatore individuato prima dell’aggiudicazione, utilizzando anche le modalità prevista per la congruità. </w:t>
      </w:r>
      <w:r w:rsidRPr="004709D3">
        <w:rPr>
          <w:rFonts w:ascii="Times New Roman" w:hAnsi="Times New Roman" w:cs="Times New Roman"/>
          <w:b/>
          <w:bCs/>
          <w:sz w:val="24"/>
          <w:szCs w:val="24"/>
        </w:rPr>
        <w:t>Pertanto, la mancata allegazione della dichiarazione di equivalenza delle tutele non può costituire causa di esclusione, ma la sua richiesta si giustifica con l’esigenza di accelerare i tempi di affidamento</w:t>
      </w:r>
      <w:r w:rsidRPr="00101B3F">
        <w:rPr>
          <w:rFonts w:ascii="Times New Roman" w:hAnsi="Times New Roman" w:cs="Times New Roman"/>
          <w:sz w:val="24"/>
          <w:szCs w:val="24"/>
        </w:rPr>
        <w:t xml:space="preserve">. </w:t>
      </w:r>
      <w:r w:rsidRPr="004709D3">
        <w:rPr>
          <w:rFonts w:ascii="Times New Roman" w:hAnsi="Times New Roman" w:cs="Times New Roman"/>
          <w:b/>
          <w:bCs/>
          <w:sz w:val="24"/>
          <w:szCs w:val="24"/>
        </w:rPr>
        <w:t>La stazione appaltante, nel caso di mancata presentazione della dichiarazione, dovrà procedere con la formale richiesta, assegnando un congruo tempo per la relativa produzione”.</w:t>
      </w:r>
    </w:p>
    <w:p w14:paraId="17257050" w14:textId="35B5B566" w:rsidR="001147E9" w:rsidRDefault="001147E9" w:rsidP="0085097A">
      <w:pPr>
        <w:jc w:val="both"/>
        <w:rPr>
          <w:rFonts w:ascii="Times New Roman" w:hAnsi="Times New Roman" w:cs="Times New Roman"/>
          <w:sz w:val="24"/>
          <w:szCs w:val="24"/>
        </w:rPr>
      </w:pPr>
      <w:r w:rsidRPr="00101B3F">
        <w:rPr>
          <w:rFonts w:ascii="Times New Roman" w:hAnsi="Times New Roman" w:cs="Times New Roman"/>
          <w:sz w:val="24"/>
          <w:szCs w:val="24"/>
        </w:rPr>
        <w:t xml:space="preserve">_________________________  </w:t>
      </w:r>
      <w:r w:rsidR="0000188F">
        <w:rPr>
          <w:rFonts w:ascii="Times New Roman" w:hAnsi="Times New Roman" w:cs="Times New Roman"/>
          <w:sz w:val="24"/>
          <w:szCs w:val="24"/>
        </w:rPr>
        <w:t xml:space="preserve"> </w:t>
      </w:r>
    </w:p>
    <w:p w14:paraId="101FD93E" w14:textId="11FECDB0" w:rsidR="0000188F" w:rsidRPr="0000188F" w:rsidRDefault="00FD4602" w:rsidP="00FD4602">
      <w:pPr>
        <w:spacing w:after="0"/>
        <w:jc w:val="both"/>
        <w:rPr>
          <w:rFonts w:ascii="Times New Roman" w:hAnsi="Times New Roman" w:cs="Times New Roman"/>
          <w:b/>
          <w:bCs/>
          <w:sz w:val="24"/>
          <w:szCs w:val="24"/>
        </w:rPr>
      </w:pPr>
      <w:r>
        <w:rPr>
          <w:rFonts w:ascii="Times New Roman" w:hAnsi="Times New Roman" w:cs="Times New Roman"/>
          <w:b/>
          <w:bCs/>
          <w:sz w:val="24"/>
          <w:szCs w:val="24"/>
        </w:rPr>
        <w:t>Cons. Stato, Sez. V, 28.03.2025, n. 2605</w:t>
      </w:r>
    </w:p>
    <w:p w14:paraId="58431106" w14:textId="17115CBF" w:rsidR="0000188F" w:rsidRPr="0000188F" w:rsidRDefault="0000188F" w:rsidP="00FD4602">
      <w:pPr>
        <w:spacing w:after="0"/>
        <w:jc w:val="both"/>
        <w:rPr>
          <w:rFonts w:ascii="Times New Roman" w:hAnsi="Times New Roman" w:cs="Times New Roman"/>
          <w:b/>
          <w:bCs/>
          <w:i/>
          <w:iCs/>
          <w:sz w:val="24"/>
          <w:szCs w:val="24"/>
        </w:rPr>
      </w:pPr>
      <w:r w:rsidRPr="0000188F">
        <w:rPr>
          <w:rFonts w:ascii="Times New Roman" w:hAnsi="Times New Roman" w:cs="Times New Roman"/>
          <w:b/>
          <w:bCs/>
          <w:i/>
          <w:iCs/>
          <w:sz w:val="24"/>
          <w:szCs w:val="24"/>
        </w:rPr>
        <w:t>Sull’esclusione automatica in caso di assenza della dichiarazione del CCNL applicato.</w:t>
      </w:r>
    </w:p>
    <w:p w14:paraId="4EA3D354" w14:textId="093381E1" w:rsidR="0000188F" w:rsidRDefault="0000188F" w:rsidP="0000188F">
      <w:pPr>
        <w:jc w:val="both"/>
        <w:rPr>
          <w:rFonts w:ascii="Times New Roman" w:hAnsi="Times New Roman" w:cs="Times New Roman"/>
          <w:sz w:val="24"/>
          <w:szCs w:val="24"/>
        </w:rPr>
      </w:pPr>
      <w:r w:rsidRPr="0000188F">
        <w:rPr>
          <w:rFonts w:ascii="Times New Roman" w:hAnsi="Times New Roman" w:cs="Times New Roman"/>
          <w:sz w:val="24"/>
          <w:szCs w:val="24"/>
        </w:rPr>
        <w:t>Nel caso di specie, come correttamente evidenziato dal primo giudice, quello rilevato dalla stazione appaltante era – </w:t>
      </w:r>
      <w:r w:rsidRPr="0000188F">
        <w:rPr>
          <w:rFonts w:ascii="Times New Roman" w:hAnsi="Times New Roman" w:cs="Times New Roman"/>
          <w:i/>
          <w:iCs/>
          <w:sz w:val="24"/>
          <w:szCs w:val="24"/>
        </w:rPr>
        <w:t xml:space="preserve">per </w:t>
      </w:r>
      <w:proofErr w:type="spellStart"/>
      <w:r w:rsidRPr="0000188F">
        <w:rPr>
          <w:rFonts w:ascii="Times New Roman" w:hAnsi="Times New Roman" w:cs="Times New Roman"/>
          <w:i/>
          <w:iCs/>
          <w:sz w:val="24"/>
          <w:szCs w:val="24"/>
        </w:rPr>
        <w:t>tabulas</w:t>
      </w:r>
      <w:proofErr w:type="spellEnd"/>
      <w:r w:rsidRPr="0000188F">
        <w:rPr>
          <w:rFonts w:ascii="Times New Roman" w:hAnsi="Times New Roman" w:cs="Times New Roman"/>
          <w:sz w:val="24"/>
          <w:szCs w:val="24"/>
        </w:rPr>
        <w:t xml:space="preserve"> – </w:t>
      </w:r>
      <w:r w:rsidRPr="00FD4602">
        <w:rPr>
          <w:rFonts w:ascii="Times New Roman" w:hAnsi="Times New Roman" w:cs="Times New Roman"/>
          <w:b/>
          <w:bCs/>
          <w:sz w:val="24"/>
          <w:szCs w:val="24"/>
        </w:rPr>
        <w:t>il vizio di offerta incompleta</w:t>
      </w:r>
      <w:r w:rsidRPr="0000188F">
        <w:rPr>
          <w:rFonts w:ascii="Times New Roman" w:hAnsi="Times New Roman" w:cs="Times New Roman"/>
          <w:sz w:val="24"/>
          <w:szCs w:val="24"/>
        </w:rPr>
        <w:t>.</w:t>
      </w:r>
    </w:p>
    <w:p w14:paraId="404F07CF" w14:textId="78C8E91C" w:rsidR="0000188F" w:rsidRPr="0000188F" w:rsidRDefault="0000188F" w:rsidP="0000188F">
      <w:pPr>
        <w:jc w:val="both"/>
        <w:rPr>
          <w:rFonts w:ascii="Times New Roman" w:hAnsi="Times New Roman" w:cs="Times New Roman"/>
          <w:sz w:val="24"/>
          <w:szCs w:val="24"/>
        </w:rPr>
      </w:pPr>
      <w:r w:rsidRPr="0000188F">
        <w:rPr>
          <w:rFonts w:ascii="Times New Roman" w:hAnsi="Times New Roman" w:cs="Times New Roman"/>
          <w:sz w:val="24"/>
          <w:szCs w:val="24"/>
        </w:rPr>
        <w:t>Al riguardo, non può condividersi la prospettazione secondo cui la dichiarazione del CCNL concretamente applicato non sarebbe stato un elemento essenziale dell’offerta. Invero, ai sensi dell’art. 11 del d.lgs. n. 36 del 2023, al personale impiegato negli appalti pubblici dev’essere applicato il contratto collettivo nazionale e territoriale in vigore per il settore e per la zona nella quale si eseguono le prestazioni di lavoro, laddove gli operatori economici possono anche indicare nella propria offerta il differente contratto collettivo da essi applicato, ma se si avvalgono di questa facoltà, “</w:t>
      </w:r>
      <w:r w:rsidRPr="0000188F">
        <w:rPr>
          <w:rFonts w:ascii="Times New Roman" w:hAnsi="Times New Roman" w:cs="Times New Roman"/>
          <w:i/>
          <w:iCs/>
          <w:sz w:val="24"/>
          <w:szCs w:val="24"/>
        </w:rPr>
        <w:t>prima di procedere all’affidamento o all’aggiudicazione le stazioni appaltanti e gli enti concedenti acquisiscono la dichiarazione con la quale l’operatore economico individuato si impegna ad applicare il contratto collettivo nazionale e territoriale indicato nell’esecuzione delle prestazioni oggetto del contratto per tutta la sua durata, ovvero la dichiarazione di equivalenza delle tutele. In quest’ultimo caso, la dichiarazione è anche verificata con le modalità di cui all’articolo 110</w:t>
      </w:r>
      <w:r w:rsidRPr="0000188F">
        <w:rPr>
          <w:rFonts w:ascii="Times New Roman" w:hAnsi="Times New Roman" w:cs="Times New Roman"/>
          <w:sz w:val="24"/>
          <w:szCs w:val="24"/>
        </w:rPr>
        <w:t>”.</w:t>
      </w:r>
    </w:p>
    <w:p w14:paraId="32EB7654" w14:textId="77777777" w:rsidR="0000188F" w:rsidRPr="0000188F" w:rsidRDefault="0000188F" w:rsidP="0000188F">
      <w:pPr>
        <w:jc w:val="both"/>
        <w:rPr>
          <w:rFonts w:ascii="Times New Roman" w:hAnsi="Times New Roman" w:cs="Times New Roman"/>
          <w:sz w:val="24"/>
          <w:szCs w:val="24"/>
        </w:rPr>
      </w:pPr>
      <w:r w:rsidRPr="0000188F">
        <w:rPr>
          <w:rFonts w:ascii="Times New Roman" w:hAnsi="Times New Roman" w:cs="Times New Roman"/>
          <w:sz w:val="24"/>
          <w:szCs w:val="24"/>
        </w:rPr>
        <w:t>Neppure è corretto sostenere, come fa l’appellante, che la previsione dell’art. 11 cit. sia del tutto slegata da quella di cui all’art. 41 del </w:t>
      </w:r>
      <w:r w:rsidRPr="0000188F">
        <w:rPr>
          <w:rFonts w:ascii="Times New Roman" w:hAnsi="Times New Roman" w:cs="Times New Roman"/>
          <w:i/>
          <w:iCs/>
          <w:sz w:val="24"/>
          <w:szCs w:val="24"/>
        </w:rPr>
        <w:t>Codice</w:t>
      </w:r>
      <w:r w:rsidRPr="0000188F">
        <w:rPr>
          <w:rFonts w:ascii="Times New Roman" w:hAnsi="Times New Roman" w:cs="Times New Roman"/>
          <w:sz w:val="24"/>
          <w:szCs w:val="24"/>
        </w:rPr>
        <w:t xml:space="preserve">, a mente del quale, nei contratti di lavori e servizi, per determinare l’importo posto a base di gara la stazione appaltante o l’ente concedente devono </w:t>
      </w:r>
      <w:r w:rsidRPr="0000188F">
        <w:rPr>
          <w:rFonts w:ascii="Times New Roman" w:hAnsi="Times New Roman" w:cs="Times New Roman"/>
          <w:sz w:val="24"/>
          <w:szCs w:val="24"/>
        </w:rPr>
        <w:lastRenderedPageBreak/>
        <w:t>individuare nei documenti di gara i costi della manodopera, prevedendo che gli stessi (unitamente a quelli della sicurezza) vadano scorporati dall’importo assoggettato al ribasso.</w:t>
      </w:r>
    </w:p>
    <w:p w14:paraId="0E273E19" w14:textId="77777777" w:rsidR="0000188F" w:rsidRPr="0000188F" w:rsidRDefault="0000188F" w:rsidP="0000188F">
      <w:pPr>
        <w:jc w:val="both"/>
        <w:rPr>
          <w:rFonts w:ascii="Times New Roman" w:hAnsi="Times New Roman" w:cs="Times New Roman"/>
          <w:sz w:val="24"/>
          <w:szCs w:val="24"/>
        </w:rPr>
      </w:pPr>
      <w:r w:rsidRPr="0000188F">
        <w:rPr>
          <w:rFonts w:ascii="Times New Roman" w:hAnsi="Times New Roman" w:cs="Times New Roman"/>
          <w:b/>
          <w:bCs/>
          <w:sz w:val="24"/>
          <w:szCs w:val="24"/>
        </w:rPr>
        <w:t>Non può fondatamente credersi che le previsioni dei richiamati artt. 11 e 41 non abbiano natura di norme imperative inderogabili, già solo in ragione della loro inequivoca formulazione testuale</w:t>
      </w:r>
      <w:r w:rsidRPr="0000188F">
        <w:rPr>
          <w:rFonts w:ascii="Times New Roman" w:hAnsi="Times New Roman" w:cs="Times New Roman"/>
          <w:sz w:val="24"/>
          <w:szCs w:val="24"/>
        </w:rPr>
        <w:t xml:space="preserve"> (oltre che degli obiettivi perseguiti, di garantire ai lavoratori più adeguate tutele sotto il profilo giuridico ed economico).</w:t>
      </w:r>
    </w:p>
    <w:p w14:paraId="128606CC" w14:textId="77777777" w:rsidR="0000188F" w:rsidRPr="0000188F" w:rsidRDefault="0000188F" w:rsidP="0000188F">
      <w:pPr>
        <w:jc w:val="both"/>
        <w:rPr>
          <w:rFonts w:ascii="Times New Roman" w:hAnsi="Times New Roman" w:cs="Times New Roman"/>
          <w:sz w:val="24"/>
          <w:szCs w:val="24"/>
        </w:rPr>
      </w:pPr>
      <w:r w:rsidRPr="0000188F">
        <w:rPr>
          <w:rFonts w:ascii="Times New Roman" w:hAnsi="Times New Roman" w:cs="Times New Roman"/>
          <w:sz w:val="24"/>
          <w:szCs w:val="24"/>
        </w:rPr>
        <w:t xml:space="preserve">A ciò aggiungasi – come evincibile dal combinato disposto degli artt. 110, comma primo e 108, comma 9 d.lgs. n. 36 del 2023 – che le disposizioni del CCNL concretamente applicato (così come individuato nell’offerta) </w:t>
      </w:r>
      <w:r w:rsidRPr="0000188F">
        <w:rPr>
          <w:rFonts w:ascii="Times New Roman" w:hAnsi="Times New Roman" w:cs="Times New Roman"/>
          <w:b/>
          <w:bCs/>
          <w:sz w:val="24"/>
          <w:szCs w:val="24"/>
        </w:rPr>
        <w:t>rilevano anche sull’eventuale anomalia delle offerte che rechino il riferimento ad un CCNL</w:t>
      </w:r>
      <w:r w:rsidRPr="0000188F">
        <w:rPr>
          <w:rFonts w:ascii="Times New Roman" w:hAnsi="Times New Roman" w:cs="Times New Roman"/>
          <w:sz w:val="24"/>
          <w:szCs w:val="24"/>
        </w:rPr>
        <w:t xml:space="preserve"> – ed al conseguente costo della manodopera – diverso da quello posto a base della legge di gara.</w:t>
      </w:r>
    </w:p>
    <w:p w14:paraId="4296FA64" w14:textId="64BE5013" w:rsidR="0000188F" w:rsidRDefault="0000188F" w:rsidP="0085097A">
      <w:pPr>
        <w:jc w:val="both"/>
        <w:rPr>
          <w:rFonts w:ascii="Times New Roman" w:hAnsi="Times New Roman" w:cs="Times New Roman"/>
          <w:sz w:val="24"/>
          <w:szCs w:val="24"/>
        </w:rPr>
      </w:pPr>
      <w:r>
        <w:rPr>
          <w:rFonts w:ascii="Times New Roman" w:hAnsi="Times New Roman" w:cs="Times New Roman"/>
          <w:sz w:val="24"/>
          <w:szCs w:val="24"/>
        </w:rPr>
        <w:t>_____________________________</w:t>
      </w:r>
    </w:p>
    <w:p w14:paraId="07E14065" w14:textId="7637EC95" w:rsidR="009918B3" w:rsidRPr="009918B3" w:rsidRDefault="009918B3" w:rsidP="0085097A">
      <w:pPr>
        <w:jc w:val="both"/>
        <w:rPr>
          <w:rFonts w:ascii="Times New Roman" w:hAnsi="Times New Roman" w:cs="Times New Roman"/>
          <w:b/>
          <w:bCs/>
          <w:sz w:val="24"/>
          <w:szCs w:val="24"/>
        </w:rPr>
      </w:pPr>
      <w:r w:rsidRPr="009918B3">
        <w:rPr>
          <w:rFonts w:ascii="Times New Roman" w:hAnsi="Times New Roman" w:cs="Times New Roman"/>
          <w:b/>
          <w:bCs/>
          <w:sz w:val="24"/>
          <w:szCs w:val="24"/>
        </w:rPr>
        <w:t>Tar Emilia Romagna, Bologna, Sez. II, 11.02.2025</w:t>
      </w:r>
    </w:p>
    <w:p w14:paraId="24933CD9" w14:textId="2E1BE20A" w:rsidR="009918B3" w:rsidRPr="009918B3" w:rsidRDefault="009918B3" w:rsidP="009918B3">
      <w:pPr>
        <w:spacing w:after="0"/>
        <w:jc w:val="both"/>
        <w:rPr>
          <w:rFonts w:ascii="Times New Roman" w:hAnsi="Times New Roman" w:cs="Times New Roman"/>
          <w:b/>
          <w:bCs/>
          <w:i/>
          <w:iCs/>
          <w:sz w:val="24"/>
          <w:szCs w:val="24"/>
        </w:rPr>
      </w:pPr>
      <w:r w:rsidRPr="009918B3">
        <w:rPr>
          <w:rFonts w:ascii="Times New Roman" w:hAnsi="Times New Roman" w:cs="Times New Roman"/>
          <w:b/>
          <w:bCs/>
          <w:i/>
          <w:iCs/>
          <w:sz w:val="24"/>
          <w:szCs w:val="24"/>
        </w:rPr>
        <w:t xml:space="preserve">Sull’obbligo di inserire </w:t>
      </w:r>
      <w:r w:rsidR="00433939">
        <w:rPr>
          <w:rFonts w:ascii="Times New Roman" w:hAnsi="Times New Roman" w:cs="Times New Roman"/>
          <w:b/>
          <w:bCs/>
          <w:i/>
          <w:iCs/>
          <w:sz w:val="24"/>
          <w:szCs w:val="24"/>
        </w:rPr>
        <w:t>n</w:t>
      </w:r>
      <w:r w:rsidRPr="009918B3">
        <w:rPr>
          <w:rFonts w:ascii="Times New Roman" w:hAnsi="Times New Roman" w:cs="Times New Roman"/>
          <w:b/>
          <w:bCs/>
          <w:i/>
          <w:iCs/>
          <w:sz w:val="24"/>
          <w:szCs w:val="24"/>
        </w:rPr>
        <w:t>egli atti di gara, la clausola sociale</w:t>
      </w:r>
    </w:p>
    <w:p w14:paraId="199288F1" w14:textId="77777777"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 xml:space="preserve">La norma </w:t>
      </w:r>
      <w:r w:rsidRPr="009918B3">
        <w:rPr>
          <w:rFonts w:ascii="Times New Roman" w:hAnsi="Times New Roman" w:cs="Times New Roman"/>
          <w:b/>
          <w:bCs/>
          <w:sz w:val="24"/>
          <w:szCs w:val="24"/>
        </w:rPr>
        <w:t xml:space="preserve">è stata poi modificata in senso rafforzativo dell’obbligo con </w:t>
      </w:r>
      <w:proofErr w:type="spellStart"/>
      <w:r w:rsidRPr="009918B3">
        <w:rPr>
          <w:rFonts w:ascii="Times New Roman" w:hAnsi="Times New Roman" w:cs="Times New Roman"/>
          <w:b/>
          <w:bCs/>
          <w:sz w:val="24"/>
          <w:szCs w:val="24"/>
        </w:rPr>
        <w:t>D.Lgs.</w:t>
      </w:r>
      <w:proofErr w:type="spellEnd"/>
      <w:r w:rsidRPr="009918B3">
        <w:rPr>
          <w:rFonts w:ascii="Times New Roman" w:hAnsi="Times New Roman" w:cs="Times New Roman"/>
          <w:b/>
          <w:bCs/>
          <w:sz w:val="24"/>
          <w:szCs w:val="24"/>
        </w:rPr>
        <w:t xml:space="preserve"> n. 209/2024</w:t>
      </w:r>
      <w:r w:rsidRPr="009918B3">
        <w:rPr>
          <w:rFonts w:ascii="Times New Roman" w:hAnsi="Times New Roman" w:cs="Times New Roman"/>
          <w:sz w:val="24"/>
          <w:szCs w:val="24"/>
        </w:rPr>
        <w:t xml:space="preserve"> a far data dal 31.12.2024.</w:t>
      </w:r>
    </w:p>
    <w:p w14:paraId="259C4E75" w14:textId="0051302F"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 xml:space="preserve">Fermo restando che l’Ente procedente negli atti di gara </w:t>
      </w:r>
      <w:r w:rsidRPr="009918B3">
        <w:rPr>
          <w:rFonts w:ascii="Times New Roman" w:hAnsi="Times New Roman" w:cs="Times New Roman"/>
          <w:b/>
          <w:bCs/>
          <w:sz w:val="24"/>
          <w:szCs w:val="24"/>
        </w:rPr>
        <w:t xml:space="preserve">non ha in alcun modo motivato sul mancato inserimento delle clausole sociali nella </w:t>
      </w:r>
      <w:proofErr w:type="spellStart"/>
      <w:r w:rsidRPr="009918B3">
        <w:rPr>
          <w:rFonts w:ascii="Times New Roman" w:hAnsi="Times New Roman" w:cs="Times New Roman"/>
          <w:b/>
          <w:bCs/>
          <w:sz w:val="24"/>
          <w:szCs w:val="24"/>
        </w:rPr>
        <w:t>lex</w:t>
      </w:r>
      <w:proofErr w:type="spellEnd"/>
      <w:r w:rsidRPr="009918B3">
        <w:rPr>
          <w:rFonts w:ascii="Times New Roman" w:hAnsi="Times New Roman" w:cs="Times New Roman"/>
          <w:b/>
          <w:bCs/>
          <w:sz w:val="24"/>
          <w:szCs w:val="24"/>
        </w:rPr>
        <w:t xml:space="preserve"> </w:t>
      </w:r>
      <w:proofErr w:type="spellStart"/>
      <w:r w:rsidRPr="009918B3">
        <w:rPr>
          <w:rFonts w:ascii="Times New Roman" w:hAnsi="Times New Roman" w:cs="Times New Roman"/>
          <w:b/>
          <w:bCs/>
          <w:sz w:val="24"/>
          <w:szCs w:val="24"/>
        </w:rPr>
        <w:t>specialis</w:t>
      </w:r>
      <w:proofErr w:type="spellEnd"/>
      <w:r w:rsidRPr="009918B3">
        <w:rPr>
          <w:rFonts w:ascii="Times New Roman" w:hAnsi="Times New Roman" w:cs="Times New Roman"/>
          <w:sz w:val="24"/>
          <w:szCs w:val="24"/>
        </w:rPr>
        <w:t>, con la conseguenza che quella contenuta negli scritti difensivi si configura come una motivazione postuma, il punto è che vi sono tutta una serie di prestazioni contrattuali a carico dell’appaltatore che sicuramente non hanno natura intellettuale e che dunque non possono beneficiare dell’esenzione un tempo prevista dall’obbligo in questione.</w:t>
      </w:r>
    </w:p>
    <w:p w14:paraId="787AAE39" w14:textId="77777777"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In particolare, ci si riferisce alla predisposizione da parte dell’appaltatore del servizio di vigilanza, con personale incaricato dell’accoglienza e identificazione dei candidati, della loro sistemazione e distanziamento nelle sale di esame, della somministrazione dei test, del controllo che i candidati non comunichino tra loro, non si scambino materiale e non utilizzino materiale non consentito, della raccolta e adeguata conservazione dei test svolti.</w:t>
      </w:r>
    </w:p>
    <w:p w14:paraId="157ACB1A" w14:textId="5A7BF907" w:rsidR="009918B3" w:rsidRDefault="009918B3" w:rsidP="009918B3">
      <w:pPr>
        <w:spacing w:after="0"/>
        <w:jc w:val="both"/>
        <w:rPr>
          <w:rFonts w:ascii="Times New Roman" w:hAnsi="Times New Roman" w:cs="Times New Roman"/>
          <w:b/>
          <w:bCs/>
          <w:sz w:val="24"/>
          <w:szCs w:val="24"/>
        </w:rPr>
      </w:pPr>
      <w:r w:rsidRPr="009918B3">
        <w:rPr>
          <w:rFonts w:ascii="Times New Roman" w:hAnsi="Times New Roman" w:cs="Times New Roman"/>
          <w:b/>
          <w:bCs/>
          <w:sz w:val="24"/>
          <w:szCs w:val="24"/>
        </w:rPr>
        <w:t>Quantomeno per questo personale le clausole sociali dovevano essere previste.</w:t>
      </w:r>
      <w:r>
        <w:rPr>
          <w:rFonts w:ascii="Times New Roman" w:hAnsi="Times New Roman" w:cs="Times New Roman"/>
          <w:b/>
          <w:bCs/>
          <w:sz w:val="24"/>
          <w:szCs w:val="24"/>
        </w:rPr>
        <w:t xml:space="preserve"> </w:t>
      </w:r>
    </w:p>
    <w:p w14:paraId="5A2C7C9D" w14:textId="607A8651" w:rsidR="009918B3" w:rsidRDefault="009918B3" w:rsidP="009918B3">
      <w:pPr>
        <w:spacing w:after="0"/>
        <w:jc w:val="both"/>
        <w:rPr>
          <w:rFonts w:ascii="Times New Roman" w:hAnsi="Times New Roman" w:cs="Times New Roman"/>
          <w:b/>
          <w:bCs/>
          <w:sz w:val="24"/>
          <w:szCs w:val="24"/>
        </w:rPr>
      </w:pPr>
      <w:r>
        <w:rPr>
          <w:rFonts w:ascii="Times New Roman" w:hAnsi="Times New Roman" w:cs="Times New Roman"/>
          <w:b/>
          <w:bCs/>
          <w:sz w:val="24"/>
          <w:szCs w:val="24"/>
        </w:rPr>
        <w:t>_________________________</w:t>
      </w:r>
    </w:p>
    <w:p w14:paraId="3F66723F" w14:textId="77777777" w:rsidR="004E1C9C" w:rsidRDefault="004E1C9C" w:rsidP="009918B3">
      <w:pPr>
        <w:spacing w:after="0"/>
        <w:jc w:val="both"/>
        <w:rPr>
          <w:rFonts w:ascii="Times New Roman" w:hAnsi="Times New Roman" w:cs="Times New Roman"/>
          <w:b/>
          <w:bCs/>
          <w:sz w:val="24"/>
          <w:szCs w:val="24"/>
        </w:rPr>
      </w:pPr>
    </w:p>
    <w:p w14:paraId="0FE920D9" w14:textId="7D9AE86A" w:rsidR="004E1C9C" w:rsidRPr="00656217" w:rsidRDefault="004E1C9C" w:rsidP="004E1C9C">
      <w:pPr>
        <w:spacing w:after="0"/>
        <w:jc w:val="center"/>
        <w:rPr>
          <w:rFonts w:ascii="Times New Roman" w:hAnsi="Times New Roman" w:cs="Times New Roman"/>
          <w:b/>
          <w:bCs/>
          <w:sz w:val="28"/>
          <w:szCs w:val="28"/>
          <w:highlight w:val="yellow"/>
        </w:rPr>
      </w:pPr>
      <w:r w:rsidRPr="00656217">
        <w:rPr>
          <w:rFonts w:ascii="Times New Roman" w:hAnsi="Times New Roman" w:cs="Times New Roman"/>
          <w:b/>
          <w:bCs/>
          <w:sz w:val="28"/>
          <w:szCs w:val="28"/>
          <w:highlight w:val="yellow"/>
        </w:rPr>
        <w:t>ART. 17 – FASI DELLA PROCEDURA DI AFFIDAMENTO –</w:t>
      </w:r>
    </w:p>
    <w:p w14:paraId="0D0108B7" w14:textId="192B7D96" w:rsidR="004E1C9C" w:rsidRPr="004E1C9C" w:rsidRDefault="004E1C9C" w:rsidP="004E1C9C">
      <w:pPr>
        <w:spacing w:after="0"/>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ART. 18 – IL CONTRATTO E LA SUA STIPULA -</w:t>
      </w:r>
    </w:p>
    <w:p w14:paraId="6E3AFACD" w14:textId="77777777" w:rsidR="004E1C9C" w:rsidRDefault="004E1C9C" w:rsidP="009918B3">
      <w:pPr>
        <w:spacing w:after="0"/>
        <w:jc w:val="both"/>
        <w:rPr>
          <w:rFonts w:ascii="Times New Roman" w:hAnsi="Times New Roman" w:cs="Times New Roman"/>
          <w:b/>
          <w:bCs/>
          <w:sz w:val="28"/>
          <w:szCs w:val="28"/>
        </w:rPr>
      </w:pPr>
    </w:p>
    <w:p w14:paraId="5D191F0E" w14:textId="6F38B9C0" w:rsidR="004E1C9C" w:rsidRDefault="004E1C9C" w:rsidP="009918B3">
      <w:pPr>
        <w:spacing w:after="0"/>
        <w:jc w:val="both"/>
        <w:rPr>
          <w:rFonts w:ascii="Times New Roman" w:hAnsi="Times New Roman" w:cs="Times New Roman"/>
          <w:b/>
          <w:bCs/>
          <w:sz w:val="28"/>
          <w:szCs w:val="28"/>
        </w:rPr>
      </w:pPr>
      <w:r>
        <w:rPr>
          <w:rFonts w:ascii="Times New Roman" w:hAnsi="Times New Roman" w:cs="Times New Roman"/>
          <w:b/>
          <w:bCs/>
          <w:sz w:val="28"/>
          <w:szCs w:val="28"/>
        </w:rPr>
        <w:t>Tar Emilia Romagna, Bologna, Sez. II, 11.02.2025, n. 128</w:t>
      </w:r>
    </w:p>
    <w:p w14:paraId="5BB827A3" w14:textId="4B7C00D5" w:rsidR="004E1C9C" w:rsidRPr="009918B3" w:rsidRDefault="004E1C9C" w:rsidP="009918B3">
      <w:pPr>
        <w:spacing w:after="0"/>
        <w:jc w:val="both"/>
        <w:rPr>
          <w:rFonts w:ascii="Times New Roman" w:hAnsi="Times New Roman" w:cs="Times New Roman"/>
          <w:b/>
          <w:bCs/>
          <w:i/>
          <w:iCs/>
          <w:sz w:val="28"/>
          <w:szCs w:val="28"/>
        </w:rPr>
      </w:pPr>
      <w:r w:rsidRPr="004E1C9C">
        <w:rPr>
          <w:rFonts w:ascii="Times New Roman" w:hAnsi="Times New Roman" w:cs="Times New Roman"/>
          <w:b/>
          <w:bCs/>
          <w:i/>
          <w:iCs/>
          <w:sz w:val="28"/>
          <w:szCs w:val="28"/>
        </w:rPr>
        <w:t>Sull’obbligo di motivazione in caso di esecuzione anticipata</w:t>
      </w:r>
    </w:p>
    <w:p w14:paraId="545CF857" w14:textId="3EE7EC71" w:rsidR="004E1C9C" w:rsidRPr="004E1C9C" w:rsidRDefault="004E1C9C" w:rsidP="004E1C9C">
      <w:pPr>
        <w:jc w:val="both"/>
        <w:rPr>
          <w:rFonts w:ascii="Times New Roman" w:hAnsi="Times New Roman" w:cs="Times New Roman"/>
          <w:sz w:val="24"/>
          <w:szCs w:val="24"/>
        </w:rPr>
      </w:pPr>
      <w:r>
        <w:rPr>
          <w:rFonts w:ascii="Times New Roman" w:hAnsi="Times New Roman" w:cs="Times New Roman"/>
          <w:sz w:val="24"/>
          <w:szCs w:val="24"/>
        </w:rPr>
        <w:t>N</w:t>
      </w:r>
      <w:r w:rsidRPr="004E1C9C">
        <w:rPr>
          <w:rFonts w:ascii="Times New Roman" w:hAnsi="Times New Roman" w:cs="Times New Roman"/>
          <w:sz w:val="24"/>
          <w:szCs w:val="24"/>
        </w:rPr>
        <w:t xml:space="preserve">ell’ambito del provvedimento con il quale la stazione appaltante attiva l’esecuzione anticipata ovvero in via d’urgenza del contratto che debbano essere esternate le ragioni di pubblico interesse che giustificano l’una o l’altra, </w:t>
      </w:r>
      <w:r w:rsidRPr="00BA7B54">
        <w:rPr>
          <w:rFonts w:ascii="Times New Roman" w:hAnsi="Times New Roman" w:cs="Times New Roman"/>
          <w:b/>
          <w:bCs/>
          <w:sz w:val="24"/>
          <w:szCs w:val="24"/>
        </w:rPr>
        <w:t>senza che si possa ovviamente far riferimento al fatto che ex ante e in astratto il bando ha previsto tale possibilità</w:t>
      </w:r>
      <w:r w:rsidRPr="004E1C9C">
        <w:rPr>
          <w:rFonts w:ascii="Times New Roman" w:hAnsi="Times New Roman" w:cs="Times New Roman"/>
          <w:sz w:val="24"/>
          <w:szCs w:val="24"/>
        </w:rPr>
        <w:t>.</w:t>
      </w:r>
    </w:p>
    <w:p w14:paraId="0DB015AC" w14:textId="2131425B" w:rsidR="004E1C9C" w:rsidRDefault="004E1C9C" w:rsidP="004E1C9C">
      <w:pPr>
        <w:jc w:val="both"/>
        <w:rPr>
          <w:rFonts w:ascii="Times New Roman" w:hAnsi="Times New Roman" w:cs="Times New Roman"/>
          <w:sz w:val="24"/>
          <w:szCs w:val="24"/>
        </w:rPr>
      </w:pPr>
      <w:r w:rsidRPr="004E1C9C">
        <w:rPr>
          <w:rFonts w:ascii="Times New Roman" w:hAnsi="Times New Roman" w:cs="Times New Roman"/>
          <w:sz w:val="24"/>
          <w:szCs w:val="24"/>
        </w:rPr>
        <w:t xml:space="preserve">Resta poi fermo che </w:t>
      </w:r>
      <w:r w:rsidRPr="00BA7B54">
        <w:rPr>
          <w:rFonts w:ascii="Times New Roman" w:hAnsi="Times New Roman" w:cs="Times New Roman"/>
          <w:b/>
          <w:bCs/>
          <w:sz w:val="24"/>
          <w:szCs w:val="24"/>
        </w:rPr>
        <w:t>l’urgenza non deve essere provocata dalla stazione appaltante che ha tardato a bandire la gara o la ha protratta</w:t>
      </w:r>
      <w:r w:rsidRPr="004E1C9C">
        <w:rPr>
          <w:rFonts w:ascii="Times New Roman" w:hAnsi="Times New Roman" w:cs="Times New Roman"/>
          <w:sz w:val="24"/>
          <w:szCs w:val="24"/>
        </w:rPr>
        <w:t xml:space="preserve"> fino ad arrivare in prossimità della data di espletamento delle prove di ammissione, così da elidere la possibilità di una tutela cautelare o financo </w:t>
      </w:r>
      <w:proofErr w:type="spellStart"/>
      <w:r w:rsidRPr="004E1C9C">
        <w:rPr>
          <w:rFonts w:ascii="Times New Roman" w:hAnsi="Times New Roman" w:cs="Times New Roman"/>
          <w:sz w:val="24"/>
          <w:szCs w:val="24"/>
        </w:rPr>
        <w:t>caducatoria</w:t>
      </w:r>
      <w:proofErr w:type="spellEnd"/>
      <w:r w:rsidRPr="004E1C9C">
        <w:rPr>
          <w:rFonts w:ascii="Times New Roman" w:hAnsi="Times New Roman" w:cs="Times New Roman"/>
          <w:sz w:val="24"/>
          <w:szCs w:val="24"/>
        </w:rPr>
        <w:t xml:space="preserve"> dell’interesse del concorrente non aggiudicatario.</w:t>
      </w:r>
      <w:r w:rsidR="00433939">
        <w:rPr>
          <w:rFonts w:ascii="Times New Roman" w:hAnsi="Times New Roman" w:cs="Times New Roman"/>
          <w:sz w:val="24"/>
          <w:szCs w:val="24"/>
        </w:rPr>
        <w:t xml:space="preserve"> </w:t>
      </w:r>
    </w:p>
    <w:p w14:paraId="04E657A7" w14:textId="48379744" w:rsidR="00433939" w:rsidRDefault="00433939" w:rsidP="004E1C9C">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
    <w:p w14:paraId="7A2D2974" w14:textId="77777777" w:rsidR="00433939" w:rsidRPr="00101B3F" w:rsidRDefault="00433939" w:rsidP="00433939">
      <w:pPr>
        <w:jc w:val="both"/>
        <w:rPr>
          <w:rFonts w:ascii="Times New Roman" w:hAnsi="Times New Roman" w:cs="Times New Roman"/>
          <w:b/>
          <w:bCs/>
          <w:sz w:val="24"/>
          <w:szCs w:val="24"/>
        </w:rPr>
      </w:pPr>
      <w:r w:rsidRPr="00101B3F">
        <w:rPr>
          <w:rFonts w:ascii="Times New Roman" w:hAnsi="Times New Roman" w:cs="Times New Roman"/>
          <w:b/>
          <w:bCs/>
          <w:sz w:val="24"/>
          <w:szCs w:val="24"/>
        </w:rPr>
        <w:lastRenderedPageBreak/>
        <w:t>Tar Campania, Napoli, Sez. I, 24.01.2025, n. 624</w:t>
      </w:r>
    </w:p>
    <w:p w14:paraId="319C3570" w14:textId="554F22DD" w:rsidR="00433939" w:rsidRPr="00101B3F" w:rsidRDefault="00433939" w:rsidP="00433939">
      <w:pPr>
        <w:jc w:val="both"/>
        <w:rPr>
          <w:rFonts w:ascii="Times New Roman" w:hAnsi="Times New Roman" w:cs="Times New Roman"/>
          <w:b/>
          <w:bCs/>
          <w:i/>
          <w:iCs/>
          <w:sz w:val="24"/>
          <w:szCs w:val="24"/>
        </w:rPr>
      </w:pPr>
      <w:r w:rsidRPr="00101B3F">
        <w:rPr>
          <w:rFonts w:ascii="Times New Roman" w:hAnsi="Times New Roman" w:cs="Times New Roman"/>
          <w:b/>
          <w:bCs/>
          <w:i/>
          <w:iCs/>
          <w:sz w:val="24"/>
          <w:szCs w:val="24"/>
        </w:rPr>
        <w:t>Sulla possibilità di adottare</w:t>
      </w:r>
      <w:r w:rsidR="00BA7B54">
        <w:rPr>
          <w:rFonts w:ascii="Times New Roman" w:hAnsi="Times New Roman" w:cs="Times New Roman"/>
          <w:b/>
          <w:bCs/>
          <w:i/>
          <w:iCs/>
          <w:sz w:val="24"/>
          <w:szCs w:val="24"/>
        </w:rPr>
        <w:t xml:space="preserve"> i</w:t>
      </w:r>
      <w:r w:rsidRPr="00101B3F">
        <w:rPr>
          <w:rFonts w:ascii="Times New Roman" w:hAnsi="Times New Roman" w:cs="Times New Roman"/>
          <w:b/>
          <w:bCs/>
          <w:i/>
          <w:iCs/>
          <w:sz w:val="24"/>
          <w:szCs w:val="24"/>
        </w:rPr>
        <w:t>l provvedimento di aggiudicazione nelle more dei controlli</w:t>
      </w:r>
    </w:p>
    <w:p w14:paraId="50BACB8C"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La verifica è innestata nella fase intermedia tra la proposta della Commissione di gara e l’aggiudicazione, ai sensi dell’art. 17, co. 5, del d.lgs. n. 36/2023 (“L'organo preposto alla valutazione delle offerte predispone la proposta di aggiudicazione alla migliore offerta non anomala. L'organo competente a disporre l'aggiudicazione esamina la proposta, e, se la ritiene legittima e conforme all'interesse pubblico, dopo aver verificato il possesso dei requisiti in capo all'offerente, dispone l'aggiudicazione, che è immediatamente efficace”).</w:t>
      </w:r>
    </w:p>
    <w:p w14:paraId="291FAD1A"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L’innovazione introdotta antepone ad una fase anteriore all’aggiudicazione la verifica, che nel sistema previgente era posposta all’atto finale, condizionandone l’efficacia (art. 32, co. 7, del d.lgs. n. 50/2016: “L'aggiudicazione diventa efficace dopo la verifica del possesso dei prescritti requisiti”).</w:t>
      </w:r>
    </w:p>
    <w:p w14:paraId="3F407FDC"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È posta l’esigenza di consultazione del Fascicolo virtuale dell’operatore economico - FVOE (art. 24 del d.lgs. n. 36/2023) e di accesso alla piattaforma digitale nazionale dati di cui all’articolo 50-ter del Codice dell’amministrazione digitale e alle banche dati delle Pubbliche Amministrazioni (art. 99).</w:t>
      </w:r>
    </w:p>
    <w:p w14:paraId="2875E45A"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Con provvedimento n. 262 del 20 giugno 2023, si sensi del co. 4 dell’art. 24 cit., l’ANAC ha individuato “le tipologie di dati da inserire nel fascicolo virtuale dell'operatore economico, concernenti la partecipazione alle procedure di affidamento e il loro esito, in relazione ai quali è obbligatoria la verifica attraverso la Banca dati nazionale dei contratti pubblici”; in esso si premette che l’utilizzo delle funzionalità del FVOE “consente una sostanziale riduzione dei tempi delle verifiche”, preordinata al rispetto dei tempi di conclusione delle procedure (</w:t>
      </w:r>
      <w:proofErr w:type="spellStart"/>
      <w:r w:rsidRPr="00101B3F">
        <w:rPr>
          <w:rFonts w:ascii="Times New Roman" w:hAnsi="Times New Roman" w:cs="Times New Roman"/>
          <w:sz w:val="24"/>
          <w:szCs w:val="24"/>
        </w:rPr>
        <w:t>all</w:t>
      </w:r>
      <w:proofErr w:type="spellEnd"/>
      <w:r w:rsidRPr="00101B3F">
        <w:rPr>
          <w:rFonts w:ascii="Times New Roman" w:hAnsi="Times New Roman" w:cs="Times New Roman"/>
          <w:sz w:val="24"/>
          <w:szCs w:val="24"/>
        </w:rPr>
        <w:t>. I.3 del Codice).</w:t>
      </w:r>
    </w:p>
    <w:p w14:paraId="4DC62AD5"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Si dà atto, altresì, che attraverso il FVOE le stazioni appaltanti acquisiscono tra l’altro le “informazioni certificate comprovanti il possesso dei requisiti di carattere generale, tecnico-organizzativo ed economico-finanziario dell’affidamento dei contratti pubblici” (art. 3.2, lett. a), del citato provvedimento ANAC).</w:t>
      </w:r>
    </w:p>
    <w:p w14:paraId="46661AED"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Tuttavia, è riscontrabile che l’interoperabilità del sistema non sia stata ancora resa completamente funzionale, osservandosi al proposito che – nelle more di una sua completa attuazione – possa continuarsi ad assumere il valore dell’autocertificazione dell’offerente, secondo un’esigenza non trascurata dal legislatore che, da ultimo, con il correttivo al Codice (d.lgs. 31 dicembre 2024, n. 209) ha introdotto il comma 3-bis all’art. 99 del d.lgs. n. 36/2023, per l’ipotesi di malfunzionamento, consentendo l’autodichiarazione dell’offerente che attesti il possesso dei requisiti.</w:t>
      </w:r>
    </w:p>
    <w:p w14:paraId="5623BF00"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Nel caso di specie, va considerato che gli artt. 46 e 47 del D.P.R. n. 445/2000 consentono, nei rapporti con la P.A., di sostituire alle certificazioni ed atti di notorietà la dichiarazione dell’interessato, con l’osservanza delle modalità stabilite.</w:t>
      </w:r>
    </w:p>
    <w:p w14:paraId="34635917"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Le disposizioni, dettate da esigenze di semplificazione procedimentale, costituiscono modi ordinari per l’allegazione di fatti e circostanze, la cui veridicità è assunta dall’interessato sotto la sua responsabilità, anche penale.</w:t>
      </w:r>
    </w:p>
    <w:p w14:paraId="625D8505" w14:textId="77777777" w:rsidR="00433939" w:rsidRPr="00101B3F" w:rsidRDefault="00433939" w:rsidP="00433939">
      <w:pPr>
        <w:jc w:val="both"/>
        <w:rPr>
          <w:rFonts w:ascii="Times New Roman" w:hAnsi="Times New Roman" w:cs="Times New Roman"/>
          <w:sz w:val="24"/>
          <w:szCs w:val="24"/>
        </w:rPr>
      </w:pPr>
      <w:r w:rsidRPr="00101B3F">
        <w:rPr>
          <w:rFonts w:ascii="Times New Roman" w:hAnsi="Times New Roman" w:cs="Times New Roman"/>
          <w:sz w:val="24"/>
          <w:szCs w:val="24"/>
        </w:rPr>
        <w:t>La Pubblica Amministrazione che riceve la dichiarazione non è tenuta a contestarne in ogni caso la veridicità, fatto salvo il potere di controllo, “il cui esercizio è doveroso allorché quanto dichiarato si mostri palesemente non corrispondente al vero” (Cons. Stato - sez. VII, 11/1/2023 n. 343, precisando che la dichiarazione sostitutiva dell’atto di notorietà, senza alcun valore certificativo o probatorio, ha “una "attitudine" probatoria provvisoria e fino a contraria risultanza, volta a consentire – salvo verifica – la più spedita conclusione del procedimento amministrativo”).</w:t>
      </w:r>
    </w:p>
    <w:p w14:paraId="38C4FD77" w14:textId="77777777" w:rsidR="00433939" w:rsidRPr="00101B3F" w:rsidRDefault="00433939" w:rsidP="00A450D1">
      <w:pPr>
        <w:spacing w:after="0"/>
        <w:jc w:val="both"/>
        <w:rPr>
          <w:rFonts w:ascii="Times New Roman" w:hAnsi="Times New Roman" w:cs="Times New Roman"/>
          <w:sz w:val="24"/>
          <w:szCs w:val="24"/>
        </w:rPr>
      </w:pPr>
      <w:r w:rsidRPr="00101B3F">
        <w:rPr>
          <w:rFonts w:ascii="Times New Roman" w:hAnsi="Times New Roman" w:cs="Times New Roman"/>
          <w:sz w:val="24"/>
          <w:szCs w:val="24"/>
        </w:rPr>
        <w:lastRenderedPageBreak/>
        <w:t>Premesso che, nella materia degli appalti, le esigenze di speditezza nella definizione del procedimento emergono in modo particolare, nel caso di specie l’ASL Napoli 2 Nord ha assunto la dichiarazione sostitutiva dell’ausiliaria sul possesso del fatturato medio del triennio, accompagnata dall’elenco delle principali forniture effettuate a favore di strutture sanitarie pubbliche (la cui veridicità, come detto, per quanto attiene al fatturato medio nell’esercizio 2023, non è dubbia).</w:t>
      </w:r>
    </w:p>
    <w:p w14:paraId="783C803D" w14:textId="77777777" w:rsidR="00433939" w:rsidRDefault="00433939" w:rsidP="00A450D1">
      <w:pPr>
        <w:spacing w:after="0"/>
        <w:jc w:val="both"/>
        <w:rPr>
          <w:rFonts w:ascii="Times New Roman" w:hAnsi="Times New Roman" w:cs="Times New Roman"/>
          <w:sz w:val="24"/>
          <w:szCs w:val="24"/>
        </w:rPr>
      </w:pPr>
      <w:r w:rsidRPr="00101B3F">
        <w:rPr>
          <w:rFonts w:ascii="Times New Roman" w:hAnsi="Times New Roman" w:cs="Times New Roman"/>
          <w:sz w:val="24"/>
          <w:szCs w:val="24"/>
        </w:rPr>
        <w:t>Sulla base delle premesse svolte, l’operato non può ritenersi censurabile, stante l’assunzione della responsabilità anche penale del dichiarante e posto che la doverosità del controllo si pone a fronte di elementi denotanti la palese non corrispondenza al vero di quanto dichiarato (Cons. St., cit.).</w:t>
      </w:r>
    </w:p>
    <w:p w14:paraId="4410A556" w14:textId="77777777" w:rsidR="00433939" w:rsidRDefault="00433939" w:rsidP="00433939">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 </w:t>
      </w:r>
    </w:p>
    <w:p w14:paraId="4CF8574A" w14:textId="413556C3" w:rsidR="001147E9" w:rsidRDefault="00A450D1" w:rsidP="0085097A">
      <w:pPr>
        <w:jc w:val="both"/>
        <w:rPr>
          <w:rFonts w:ascii="Times New Roman" w:hAnsi="Times New Roman" w:cs="Times New Roman"/>
          <w:b/>
          <w:bCs/>
          <w:sz w:val="24"/>
          <w:szCs w:val="24"/>
        </w:rPr>
      </w:pPr>
      <w:r w:rsidRPr="00A450D1">
        <w:rPr>
          <w:rFonts w:ascii="Times New Roman" w:hAnsi="Times New Roman" w:cs="Times New Roman"/>
          <w:b/>
          <w:bCs/>
          <w:sz w:val="24"/>
          <w:szCs w:val="24"/>
        </w:rPr>
        <w:t>Cons. Stato, Sez. III, 21.06.2023, n. 6074</w:t>
      </w:r>
    </w:p>
    <w:p w14:paraId="75E45018" w14:textId="5C9B37BF" w:rsidR="00A450D1" w:rsidRPr="00A450D1" w:rsidRDefault="00A450D1" w:rsidP="0085097A">
      <w:pPr>
        <w:jc w:val="both"/>
        <w:rPr>
          <w:rFonts w:ascii="Times New Roman" w:hAnsi="Times New Roman" w:cs="Times New Roman"/>
          <w:b/>
          <w:bCs/>
          <w:i/>
          <w:iCs/>
          <w:sz w:val="24"/>
          <w:szCs w:val="24"/>
        </w:rPr>
      </w:pPr>
      <w:r w:rsidRPr="00A450D1">
        <w:rPr>
          <w:rFonts w:ascii="Times New Roman" w:hAnsi="Times New Roman" w:cs="Times New Roman"/>
          <w:b/>
          <w:bCs/>
          <w:i/>
          <w:iCs/>
          <w:sz w:val="24"/>
          <w:szCs w:val="24"/>
        </w:rPr>
        <w:t>Sull’obbligo di stipulare il contratto nel termine di 60 giorni anche in caso di avvio del servizio sotto riserva di legge</w:t>
      </w:r>
    </w:p>
    <w:p w14:paraId="084EB942" w14:textId="4FE34C22" w:rsidR="00A450D1" w:rsidRPr="00A450D1" w:rsidRDefault="00A450D1" w:rsidP="00A450D1">
      <w:pPr>
        <w:spacing w:after="0"/>
        <w:jc w:val="both"/>
        <w:rPr>
          <w:rFonts w:ascii="Times New Roman" w:hAnsi="Times New Roman" w:cs="Times New Roman"/>
          <w:sz w:val="24"/>
          <w:szCs w:val="24"/>
          <w:u w:val="single"/>
        </w:rPr>
      </w:pPr>
      <w:r w:rsidRPr="00A450D1">
        <w:rPr>
          <w:rFonts w:ascii="Times New Roman" w:hAnsi="Times New Roman" w:cs="Times New Roman"/>
          <w:sz w:val="24"/>
          <w:szCs w:val="24"/>
        </w:rPr>
        <w:t xml:space="preserve">Una volta stabilito che nella fattispecie in esame </w:t>
      </w:r>
      <w:r w:rsidRPr="00A450D1">
        <w:rPr>
          <w:rFonts w:ascii="Times New Roman" w:hAnsi="Times New Roman" w:cs="Times New Roman"/>
          <w:b/>
          <w:bCs/>
          <w:sz w:val="24"/>
          <w:szCs w:val="24"/>
        </w:rPr>
        <w:t>i requisiti di esecuzione dovevano essere posseduti «al momento della stipula del contratto</w:t>
      </w:r>
      <w:r w:rsidRPr="00A450D1">
        <w:rPr>
          <w:rFonts w:ascii="Times New Roman" w:hAnsi="Times New Roman" w:cs="Times New Roman"/>
          <w:sz w:val="24"/>
          <w:szCs w:val="24"/>
        </w:rPr>
        <w:t xml:space="preserve">», si tratta ora di stabilire </w:t>
      </w:r>
      <w:r w:rsidRPr="00A450D1">
        <w:rPr>
          <w:rFonts w:ascii="Times New Roman" w:hAnsi="Times New Roman" w:cs="Times New Roman"/>
          <w:b/>
          <w:bCs/>
          <w:sz w:val="24"/>
          <w:szCs w:val="24"/>
        </w:rPr>
        <w:t>quale fosse il termine entro il quale il contratto doveva essere stipulato e se tale termine, ordinatorio e non perentorio, potesse legittimamente essere “spostato in avanti”,</w:t>
      </w:r>
      <w:r w:rsidRPr="00A450D1">
        <w:rPr>
          <w:rFonts w:ascii="Times New Roman" w:hAnsi="Times New Roman" w:cs="Times New Roman"/>
          <w:sz w:val="24"/>
          <w:szCs w:val="24"/>
        </w:rPr>
        <w:t xml:space="preserve"> come nei fatti avvenuto, </w:t>
      </w:r>
      <w:r w:rsidRPr="00A450D1">
        <w:rPr>
          <w:rFonts w:ascii="Times New Roman" w:hAnsi="Times New Roman" w:cs="Times New Roman"/>
          <w:b/>
          <w:bCs/>
          <w:sz w:val="24"/>
          <w:szCs w:val="24"/>
        </w:rPr>
        <w:t>di circa un anno e sei mesi</w:t>
      </w:r>
      <w:r w:rsidRPr="00A450D1">
        <w:rPr>
          <w:rFonts w:ascii="Times New Roman" w:hAnsi="Times New Roman" w:cs="Times New Roman"/>
          <w:sz w:val="24"/>
          <w:szCs w:val="24"/>
        </w:rPr>
        <w:t xml:space="preserve">, </w:t>
      </w:r>
      <w:r w:rsidRPr="00A450D1">
        <w:rPr>
          <w:rFonts w:ascii="Times New Roman" w:hAnsi="Times New Roman" w:cs="Times New Roman"/>
          <w:sz w:val="24"/>
          <w:szCs w:val="24"/>
          <w:u w:val="single"/>
        </w:rPr>
        <w:t>con conseguente dilazione del termine per l’appaltatore di dotarsi dei mezzi promessi e necessari per l’adempimento delle obbligazioni assunte.</w:t>
      </w:r>
    </w:p>
    <w:p w14:paraId="73BEBAFA" w14:textId="2DF1AE06" w:rsidR="00A450D1" w:rsidRDefault="00A450D1" w:rsidP="00A450D1">
      <w:pPr>
        <w:spacing w:after="0"/>
        <w:jc w:val="both"/>
        <w:rPr>
          <w:rFonts w:ascii="Times New Roman" w:hAnsi="Times New Roman" w:cs="Times New Roman"/>
          <w:sz w:val="24"/>
          <w:szCs w:val="24"/>
        </w:rPr>
      </w:pPr>
      <w:r w:rsidRPr="00A450D1">
        <w:rPr>
          <w:rFonts w:ascii="Times New Roman" w:hAnsi="Times New Roman" w:cs="Times New Roman"/>
          <w:sz w:val="24"/>
          <w:szCs w:val="24"/>
        </w:rPr>
        <w:t xml:space="preserve">Sul primo punto, come detto, la procedura di gara prevedeva la stipula del contratto entro sessanta giorni dall’aggiudicazione, in linea con la regola generale di legge. Ciò posto, </w:t>
      </w:r>
      <w:r w:rsidRPr="00A450D1">
        <w:rPr>
          <w:rFonts w:ascii="Times New Roman" w:hAnsi="Times New Roman" w:cs="Times New Roman"/>
          <w:b/>
          <w:bCs/>
          <w:sz w:val="24"/>
          <w:szCs w:val="24"/>
        </w:rPr>
        <w:t>se è vero che il termine per la conclusione del contratto non può ritenersi inderogabilmente perentorio</w:t>
      </w:r>
      <w:r w:rsidRPr="00A450D1">
        <w:rPr>
          <w:rFonts w:ascii="Times New Roman" w:hAnsi="Times New Roman" w:cs="Times New Roman"/>
          <w:sz w:val="24"/>
          <w:szCs w:val="24"/>
        </w:rPr>
        <w:t xml:space="preserve">, è altresì vero che l’intera normativa nella materia dei contratti pubblici converge univocamente nel senso di ritenere la </w:t>
      </w:r>
      <w:r w:rsidRPr="00A450D1">
        <w:rPr>
          <w:rFonts w:ascii="Times New Roman" w:hAnsi="Times New Roman" w:cs="Times New Roman"/>
          <w:b/>
          <w:bCs/>
          <w:sz w:val="24"/>
          <w:szCs w:val="24"/>
        </w:rPr>
        <w:t>conclusione del contratto un adempimento da definirsi nel tempo più rapido possibile</w:t>
      </w:r>
      <w:r w:rsidRPr="00A450D1">
        <w:rPr>
          <w:rFonts w:ascii="Times New Roman" w:hAnsi="Times New Roman" w:cs="Times New Roman"/>
          <w:sz w:val="24"/>
          <w:szCs w:val="24"/>
        </w:rPr>
        <w:t>:</w:t>
      </w:r>
    </w:p>
    <w:p w14:paraId="6C6A679A" w14:textId="2B1DFAFD" w:rsidR="00A450D1" w:rsidRDefault="00A450D1" w:rsidP="00A450D1">
      <w:pPr>
        <w:spacing w:after="0"/>
        <w:jc w:val="both"/>
        <w:rPr>
          <w:rFonts w:ascii="Times New Roman" w:hAnsi="Times New Roman" w:cs="Times New Roman"/>
          <w:sz w:val="24"/>
          <w:szCs w:val="24"/>
        </w:rPr>
      </w:pPr>
      <w:r w:rsidRPr="00A450D1">
        <w:rPr>
          <w:rFonts w:ascii="Times New Roman" w:hAnsi="Times New Roman" w:cs="Times New Roman"/>
          <w:sz w:val="24"/>
          <w:szCs w:val="24"/>
        </w:rPr>
        <w:t>sarebbe paradossale affermare la tesi secondo la quale, fatta la gara e selezionato il fornitore, non vi sia poi alcun termine cogente entro il quale la fornitura debba essere effettivamente e compiutamente prestata sulla base di un regolare contratto (e non in modo provvisorio, incompleto e precario, come avviene nell’anticipo di esecuzione, che deve costituire comunque una molto ben motivata eccezione alla regola</w:t>
      </w:r>
    </w:p>
    <w:p w14:paraId="568DFFA4" w14:textId="0523FF6D" w:rsidR="00A450D1" w:rsidRDefault="00A450D1" w:rsidP="00A450D1">
      <w:pPr>
        <w:spacing w:after="0"/>
        <w:jc w:val="both"/>
        <w:rPr>
          <w:rFonts w:ascii="Times New Roman" w:hAnsi="Times New Roman" w:cs="Times New Roman"/>
          <w:sz w:val="24"/>
          <w:szCs w:val="24"/>
        </w:rPr>
      </w:pPr>
      <w:r w:rsidRPr="00A450D1">
        <w:rPr>
          <w:rFonts w:ascii="Times New Roman" w:hAnsi="Times New Roman" w:cs="Times New Roman"/>
          <w:b/>
          <w:bCs/>
          <w:sz w:val="24"/>
          <w:szCs w:val="24"/>
        </w:rPr>
        <w:t>Consentire termini indeterminati e liberi per la piena esecuzione della fornitura, pur dopo esperita la gara, significherebbe negare contraddittoriamente quel bisogno di acquisto di beni, servizi, lavori che ha mosso l’amministrazione a procedere</w:t>
      </w:r>
      <w:r w:rsidRPr="00A450D1">
        <w:rPr>
          <w:rFonts w:ascii="Times New Roman" w:hAnsi="Times New Roman" w:cs="Times New Roman"/>
          <w:sz w:val="24"/>
          <w:szCs w:val="24"/>
        </w:rPr>
        <w:t xml:space="preserve"> (secondo un dovere funzionale, peraltro, di razionale programmazione degli acquisti) e che ha giustificato l’indizione della procedura selettiva. Il che cozzerebbe frontalmente con il principio di buona amministrazione e con i principi di economicità, efficacia, tempestività ripetutamente richiamati nel codice dei contratti pubblici.</w:t>
      </w:r>
    </w:p>
    <w:p w14:paraId="21782694" w14:textId="6B7582E3" w:rsidR="00A450D1" w:rsidRDefault="00A450D1" w:rsidP="00A450D1">
      <w:pPr>
        <w:spacing w:after="0"/>
        <w:jc w:val="both"/>
        <w:rPr>
          <w:rFonts w:ascii="Times New Roman" w:hAnsi="Times New Roman" w:cs="Times New Roman"/>
          <w:b/>
          <w:bCs/>
          <w:sz w:val="24"/>
          <w:szCs w:val="24"/>
        </w:rPr>
      </w:pPr>
      <w:r w:rsidRPr="00A450D1">
        <w:rPr>
          <w:rFonts w:ascii="Times New Roman" w:hAnsi="Times New Roman" w:cs="Times New Roman"/>
          <w:sz w:val="24"/>
          <w:szCs w:val="24"/>
        </w:rPr>
        <w:t xml:space="preserve">In conclusione, ad avviso del Collegio, nel caso di specie in esame emerge </w:t>
      </w:r>
      <w:r w:rsidRPr="00A450D1">
        <w:rPr>
          <w:rFonts w:ascii="Times New Roman" w:hAnsi="Times New Roman" w:cs="Times New Roman"/>
          <w:b/>
          <w:bCs/>
          <w:sz w:val="24"/>
          <w:szCs w:val="24"/>
        </w:rPr>
        <w:t>un irragionevole e immotivato ritardo nell’approntamento dei mezzi necessari per l’esecuzione del contratto e le verifiche doverose da parte della stazione appaltante si sono immotivatamente diluite eccessivamente nel tempo.</w:t>
      </w:r>
      <w:r w:rsidRPr="00A450D1">
        <w:rPr>
          <w:rFonts w:ascii="Times New Roman" w:hAnsi="Times New Roman" w:cs="Times New Roman"/>
          <w:sz w:val="24"/>
          <w:szCs w:val="24"/>
        </w:rPr>
        <w:t xml:space="preserve"> Anche a voler escludere che vi fosse un termine perentorio per la stipula del contratto e/o per la verifica del possesso dei requisiti de </w:t>
      </w:r>
      <w:proofErr w:type="spellStart"/>
      <w:r w:rsidRPr="00A450D1">
        <w:rPr>
          <w:rFonts w:ascii="Times New Roman" w:hAnsi="Times New Roman" w:cs="Times New Roman"/>
          <w:sz w:val="24"/>
          <w:szCs w:val="24"/>
        </w:rPr>
        <w:t>quibus</w:t>
      </w:r>
      <w:proofErr w:type="spellEnd"/>
      <w:r w:rsidRPr="00A450D1">
        <w:rPr>
          <w:rFonts w:ascii="Times New Roman" w:hAnsi="Times New Roman" w:cs="Times New Roman"/>
          <w:sz w:val="24"/>
          <w:szCs w:val="24"/>
        </w:rPr>
        <w:t xml:space="preserve">, peraltro essenziale per l’esecuzione dell’appalto, tuttavia emerge nel caso concreto un </w:t>
      </w:r>
      <w:r w:rsidRPr="00A450D1">
        <w:rPr>
          <w:rFonts w:ascii="Times New Roman" w:hAnsi="Times New Roman" w:cs="Times New Roman"/>
          <w:b/>
          <w:bCs/>
          <w:sz w:val="24"/>
          <w:szCs w:val="24"/>
        </w:rPr>
        <w:t>ingiustificato ritardo che, se non attiene alla fase di adempimento contrattuale, ma coinvolge, come statuito dalla sentenza della Sezione, poteri/doveri funzionali e doverosi della stazione appaltante, legittimamente denunciabili (ancora) dal secondo graduato nella procedura di gara, allora si traduce in un vizio di legittimità dell’atto, impugnato in primo grado, di verifica ora per allora dei ripetuti requisiti di esecuzione.</w:t>
      </w:r>
    </w:p>
    <w:p w14:paraId="0FCD595E" w14:textId="77777777" w:rsidR="00A450D1" w:rsidRPr="00A450D1" w:rsidRDefault="00A450D1" w:rsidP="00A450D1">
      <w:pPr>
        <w:spacing w:after="0"/>
        <w:jc w:val="both"/>
        <w:rPr>
          <w:rFonts w:ascii="Times New Roman" w:hAnsi="Times New Roman" w:cs="Times New Roman"/>
          <w:b/>
          <w:bCs/>
          <w:sz w:val="24"/>
          <w:szCs w:val="24"/>
        </w:rPr>
      </w:pPr>
    </w:p>
    <w:p w14:paraId="11FE90BE" w14:textId="7E00C35C" w:rsidR="00BA7B54" w:rsidRDefault="00BA7B54" w:rsidP="009918B3">
      <w:pPr>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lastRenderedPageBreak/>
        <w:t>SULL’ACCESSO AGLI DI GARA (ART 35 E 36)</w:t>
      </w:r>
    </w:p>
    <w:p w14:paraId="4FCFA63C" w14:textId="7A534CE3" w:rsidR="00FF1EE3" w:rsidRDefault="00FF1EE3" w:rsidP="00A9652B">
      <w:pPr>
        <w:spacing w:after="0"/>
        <w:jc w:val="both"/>
        <w:rPr>
          <w:rFonts w:ascii="Times New Roman" w:hAnsi="Times New Roman" w:cs="Times New Roman"/>
          <w:b/>
          <w:bCs/>
          <w:sz w:val="24"/>
          <w:szCs w:val="24"/>
        </w:rPr>
      </w:pPr>
      <w:r w:rsidRPr="00FF1EE3">
        <w:rPr>
          <w:rFonts w:ascii="Times New Roman" w:hAnsi="Times New Roman" w:cs="Times New Roman"/>
          <w:b/>
          <w:bCs/>
          <w:sz w:val="24"/>
          <w:szCs w:val="24"/>
        </w:rPr>
        <w:t>TRGA</w:t>
      </w:r>
      <w:r>
        <w:rPr>
          <w:rFonts w:ascii="Times New Roman" w:hAnsi="Times New Roman" w:cs="Times New Roman"/>
          <w:b/>
          <w:bCs/>
          <w:sz w:val="24"/>
          <w:szCs w:val="24"/>
        </w:rPr>
        <w:t xml:space="preserve">, </w:t>
      </w:r>
      <w:r w:rsidRPr="00FF1EE3">
        <w:rPr>
          <w:rFonts w:ascii="Times New Roman" w:hAnsi="Times New Roman" w:cs="Times New Roman"/>
          <w:b/>
          <w:bCs/>
          <w:sz w:val="24"/>
          <w:szCs w:val="24"/>
        </w:rPr>
        <w:t>Trent</w:t>
      </w:r>
      <w:r>
        <w:rPr>
          <w:rFonts w:ascii="Times New Roman" w:hAnsi="Times New Roman" w:cs="Times New Roman"/>
          <w:b/>
          <w:bCs/>
          <w:sz w:val="24"/>
          <w:szCs w:val="24"/>
        </w:rPr>
        <w:t xml:space="preserve">o, </w:t>
      </w:r>
      <w:r w:rsidRPr="00FF1EE3">
        <w:rPr>
          <w:rFonts w:ascii="Times New Roman" w:hAnsi="Times New Roman" w:cs="Times New Roman"/>
          <w:b/>
          <w:bCs/>
          <w:sz w:val="24"/>
          <w:szCs w:val="24"/>
        </w:rPr>
        <w:t>28 ottobre 2024, n. 158</w:t>
      </w:r>
    </w:p>
    <w:p w14:paraId="36131DE6" w14:textId="135E4C20" w:rsidR="00FF1EE3" w:rsidRDefault="00FF1EE3" w:rsidP="00A9652B">
      <w:pPr>
        <w:spacing w:after="0"/>
        <w:jc w:val="both"/>
        <w:rPr>
          <w:rFonts w:ascii="Times New Roman" w:hAnsi="Times New Roman" w:cs="Times New Roman"/>
          <w:b/>
          <w:bCs/>
          <w:sz w:val="24"/>
          <w:szCs w:val="24"/>
        </w:rPr>
      </w:pPr>
      <w:r>
        <w:rPr>
          <w:rFonts w:ascii="Times New Roman" w:hAnsi="Times New Roman" w:cs="Times New Roman"/>
          <w:b/>
          <w:bCs/>
          <w:sz w:val="24"/>
          <w:szCs w:val="24"/>
        </w:rPr>
        <w:t>Sulla definizione di segreto commerciale</w:t>
      </w:r>
    </w:p>
    <w:p w14:paraId="10D68039"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 xml:space="preserve">Come è stato chiarito nella giurisprudenza formatasi sotto la vigenza del precedente Codice dei contratti pubblici di cui al </w:t>
      </w:r>
      <w:proofErr w:type="spellStart"/>
      <w:r w:rsidRPr="00FF1EE3">
        <w:rPr>
          <w:rFonts w:ascii="Times New Roman" w:hAnsi="Times New Roman" w:cs="Times New Roman"/>
          <w:sz w:val="24"/>
          <w:szCs w:val="24"/>
        </w:rPr>
        <w:t>d.Lgs.</w:t>
      </w:r>
      <w:proofErr w:type="spellEnd"/>
      <w:r w:rsidRPr="00FF1EE3">
        <w:rPr>
          <w:rFonts w:ascii="Times New Roman" w:hAnsi="Times New Roman" w:cs="Times New Roman"/>
          <w:sz w:val="24"/>
          <w:szCs w:val="24"/>
        </w:rPr>
        <w:t xml:space="preserve"> n. 50/2016, che conteneva una disposizione analoga all’art. 53, comma 5, lett. a), </w:t>
      </w:r>
      <w:r w:rsidRPr="00FF1EE3">
        <w:rPr>
          <w:rFonts w:ascii="Times New Roman" w:hAnsi="Times New Roman" w:cs="Times New Roman"/>
          <w:b/>
          <w:bCs/>
          <w:sz w:val="24"/>
          <w:szCs w:val="24"/>
        </w:rPr>
        <w:t xml:space="preserve">nel valutare l’effettiva sussistenza di un segreto tecnico commerciale, l'Amministrazione non può ignorare la definizione normativa contenuta nel Codice della proprietà Industriale, di cui all'art. 98 del </w:t>
      </w:r>
      <w:proofErr w:type="spellStart"/>
      <w:r w:rsidRPr="00FF1EE3">
        <w:rPr>
          <w:rFonts w:ascii="Times New Roman" w:hAnsi="Times New Roman" w:cs="Times New Roman"/>
          <w:b/>
          <w:bCs/>
          <w:sz w:val="24"/>
          <w:szCs w:val="24"/>
        </w:rPr>
        <w:t>d.Lgs.</w:t>
      </w:r>
      <w:proofErr w:type="spellEnd"/>
      <w:r w:rsidRPr="00FF1EE3">
        <w:rPr>
          <w:rFonts w:ascii="Times New Roman" w:hAnsi="Times New Roman" w:cs="Times New Roman"/>
          <w:b/>
          <w:bCs/>
          <w:sz w:val="24"/>
          <w:szCs w:val="24"/>
        </w:rPr>
        <w:t xml:space="preserve"> n. 30/2005</w:t>
      </w:r>
      <w:r w:rsidRPr="00FF1EE3">
        <w:rPr>
          <w:rFonts w:ascii="Times New Roman" w:hAnsi="Times New Roman" w:cs="Times New Roman"/>
          <w:sz w:val="24"/>
          <w:szCs w:val="24"/>
        </w:rPr>
        <w:t xml:space="preserve"> che richiede, ai fini della tutela, che le informazioni aziendali e commerciali ed esperienze sulle applicazioni tecnico industriali debbano avere i requisiti di segretezza e rilevanza economica ed essere soggette, da parte del legittimo detentore, a misure di protezione ragionevolmente adeguate.</w:t>
      </w:r>
    </w:p>
    <w:p w14:paraId="1001B9B1"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L’art. 98 del D.lgs. n. 30 del 2005, afferma che “</w:t>
      </w:r>
      <w:r w:rsidRPr="00FF1EE3">
        <w:rPr>
          <w:rFonts w:ascii="Times New Roman" w:hAnsi="Times New Roman" w:cs="Times New Roman"/>
          <w:b/>
          <w:bCs/>
          <w:sz w:val="24"/>
          <w:szCs w:val="24"/>
        </w:rPr>
        <w:t>per segreti commerciali</w:t>
      </w:r>
      <w:r w:rsidRPr="00FF1EE3">
        <w:rPr>
          <w:rFonts w:ascii="Times New Roman" w:hAnsi="Times New Roman" w:cs="Times New Roman"/>
          <w:sz w:val="24"/>
          <w:szCs w:val="24"/>
        </w:rPr>
        <w:t xml:space="preserve"> si intendono le informazioni aziendali e le esperienze tecnico-industriali, comprese quelle commerciali, </w:t>
      </w:r>
      <w:r w:rsidRPr="00FF1EE3">
        <w:rPr>
          <w:rFonts w:ascii="Times New Roman" w:hAnsi="Times New Roman" w:cs="Times New Roman"/>
          <w:b/>
          <w:bCs/>
          <w:sz w:val="24"/>
          <w:szCs w:val="24"/>
        </w:rPr>
        <w:t>soggette al legittimo controllo del detentore, ove tali informazioni</w:t>
      </w:r>
      <w:r w:rsidRPr="00FF1EE3">
        <w:rPr>
          <w:rFonts w:ascii="Times New Roman" w:hAnsi="Times New Roman" w:cs="Times New Roman"/>
          <w:sz w:val="24"/>
          <w:szCs w:val="24"/>
        </w:rPr>
        <w:t xml:space="preserve">: </w:t>
      </w:r>
    </w:p>
    <w:p w14:paraId="282BC157"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 xml:space="preserve">a) siano </w:t>
      </w:r>
      <w:r w:rsidRPr="00FF1EE3">
        <w:rPr>
          <w:rFonts w:ascii="Times New Roman" w:hAnsi="Times New Roman" w:cs="Times New Roman"/>
          <w:b/>
          <w:bCs/>
          <w:sz w:val="24"/>
          <w:szCs w:val="24"/>
        </w:rPr>
        <w:t>segrete</w:t>
      </w:r>
      <w:r w:rsidRPr="00FF1EE3">
        <w:rPr>
          <w:rFonts w:ascii="Times New Roman" w:hAnsi="Times New Roman" w:cs="Times New Roman"/>
          <w:sz w:val="24"/>
          <w:szCs w:val="24"/>
        </w:rPr>
        <w:t xml:space="preserve">, nel senso che non siano nel loro insieme o nella precisa configurazione e combinazione dei loro elementi generalmente note o facilmente accessibili agli esperti ed agli operatori del settore; </w:t>
      </w:r>
    </w:p>
    <w:p w14:paraId="31A4DE5A"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 xml:space="preserve">b) abbiano </w:t>
      </w:r>
      <w:r w:rsidRPr="00FF1EE3">
        <w:rPr>
          <w:rFonts w:ascii="Times New Roman" w:hAnsi="Times New Roman" w:cs="Times New Roman"/>
          <w:b/>
          <w:bCs/>
          <w:sz w:val="24"/>
          <w:szCs w:val="24"/>
        </w:rPr>
        <w:t>valore economico in quanto segrete</w:t>
      </w:r>
      <w:r w:rsidRPr="00FF1EE3">
        <w:rPr>
          <w:rFonts w:ascii="Times New Roman" w:hAnsi="Times New Roman" w:cs="Times New Roman"/>
          <w:sz w:val="24"/>
          <w:szCs w:val="24"/>
        </w:rPr>
        <w:t xml:space="preserve">; </w:t>
      </w:r>
    </w:p>
    <w:p w14:paraId="1CF301EE"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 xml:space="preserve">c) siano sottoposte, da parte delle persone al cui legittimo controllo sono soggette, a misure da ritenersi ragionevolmente adeguate a mantenerle segrete”. </w:t>
      </w:r>
    </w:p>
    <w:p w14:paraId="02D7A168" w14:textId="319DDC22"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 xml:space="preserve">Ne consegue che </w:t>
      </w:r>
      <w:r w:rsidRPr="00FF1EE3">
        <w:rPr>
          <w:rFonts w:ascii="Times New Roman" w:hAnsi="Times New Roman" w:cs="Times New Roman"/>
          <w:b/>
          <w:bCs/>
          <w:sz w:val="24"/>
          <w:szCs w:val="24"/>
        </w:rPr>
        <w:t>non qualsiasi elemento di originalità del servizio offerto è riconducibile entro la categoria dei segreti tecnici o commerciali</w:t>
      </w:r>
      <w:r w:rsidRPr="00FF1EE3">
        <w:rPr>
          <w:rFonts w:ascii="Times New Roman" w:hAnsi="Times New Roman" w:cs="Times New Roman"/>
          <w:sz w:val="24"/>
          <w:szCs w:val="24"/>
        </w:rPr>
        <w:t xml:space="preserve">, perché </w:t>
      </w:r>
      <w:r w:rsidRPr="00FF1EE3">
        <w:rPr>
          <w:rFonts w:ascii="Times New Roman" w:hAnsi="Times New Roman" w:cs="Times New Roman"/>
          <w:b/>
          <w:bCs/>
          <w:sz w:val="24"/>
          <w:szCs w:val="24"/>
        </w:rPr>
        <w:t>è inevitabile che ogni operatore possieda elementi che differenziano la propria organizzazione e la propria offerta in una procedura di tipo comparativo</w:t>
      </w:r>
      <w:r w:rsidRPr="00FF1EE3">
        <w:rPr>
          <w:rFonts w:ascii="Times New Roman" w:hAnsi="Times New Roman" w:cs="Times New Roman"/>
          <w:sz w:val="24"/>
          <w:szCs w:val="24"/>
        </w:rPr>
        <w:t xml:space="preserve">, ma </w:t>
      </w:r>
      <w:r w:rsidRPr="00FF1EE3">
        <w:rPr>
          <w:rFonts w:ascii="Times New Roman" w:hAnsi="Times New Roman" w:cs="Times New Roman"/>
          <w:b/>
          <w:bCs/>
          <w:sz w:val="24"/>
          <w:szCs w:val="24"/>
        </w:rPr>
        <w:t>la qualifica di segreto tecnico o commerciale deve essere riservata ad elaborazioni e studi ulteriori, di carattere specialistico, che possano trovare applicazione in una serie indeterminata di appalti</w:t>
      </w:r>
      <w:r w:rsidRPr="00FF1EE3">
        <w:rPr>
          <w:rFonts w:ascii="Times New Roman" w:hAnsi="Times New Roman" w:cs="Times New Roman"/>
          <w:sz w:val="24"/>
          <w:szCs w:val="24"/>
        </w:rPr>
        <w:t>, e siano in grado di differenziare il valore del servizio offerto solo a condizione che i concorrenti non ne vengano a conoscenza.</w:t>
      </w:r>
    </w:p>
    <w:p w14:paraId="3324263D" w14:textId="1CC974AD" w:rsidR="00FF1EE3" w:rsidRDefault="00FF1EE3" w:rsidP="00A9652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 </w:t>
      </w:r>
    </w:p>
    <w:p w14:paraId="65B88B6C" w14:textId="77777777" w:rsidR="000F31A2" w:rsidRPr="000F31A2" w:rsidRDefault="000F31A2" w:rsidP="000F31A2">
      <w:pPr>
        <w:spacing w:after="0"/>
        <w:jc w:val="both"/>
        <w:rPr>
          <w:rFonts w:ascii="Times New Roman" w:hAnsi="Times New Roman" w:cs="Times New Roman"/>
          <w:b/>
          <w:bCs/>
          <w:sz w:val="24"/>
          <w:szCs w:val="24"/>
        </w:rPr>
      </w:pPr>
    </w:p>
    <w:p w14:paraId="759737F3" w14:textId="54CDC654" w:rsidR="000F31A2" w:rsidRDefault="000F31A2" w:rsidP="000F31A2">
      <w:pPr>
        <w:spacing w:after="0"/>
        <w:jc w:val="both"/>
        <w:rPr>
          <w:rFonts w:ascii="Times New Roman" w:hAnsi="Times New Roman" w:cs="Times New Roman"/>
          <w:b/>
          <w:bCs/>
          <w:sz w:val="24"/>
          <w:szCs w:val="24"/>
        </w:rPr>
      </w:pPr>
      <w:r w:rsidRPr="000F31A2">
        <w:rPr>
          <w:rFonts w:ascii="Times New Roman" w:hAnsi="Times New Roman" w:cs="Times New Roman"/>
          <w:b/>
          <w:bCs/>
          <w:sz w:val="24"/>
          <w:szCs w:val="24"/>
        </w:rPr>
        <w:t>Consiglio di Stato, sez. V, 15.10.2024, n. 8257</w:t>
      </w:r>
    </w:p>
    <w:p w14:paraId="7865704F" w14:textId="100B5CFC" w:rsidR="000F31A2" w:rsidRPr="000F31A2" w:rsidRDefault="000F31A2" w:rsidP="000F31A2">
      <w:pPr>
        <w:spacing w:after="0"/>
        <w:jc w:val="both"/>
        <w:rPr>
          <w:rFonts w:ascii="Times New Roman" w:hAnsi="Times New Roman" w:cs="Times New Roman"/>
          <w:b/>
          <w:bCs/>
          <w:sz w:val="24"/>
          <w:szCs w:val="24"/>
        </w:rPr>
      </w:pPr>
      <w:r>
        <w:rPr>
          <w:rFonts w:ascii="Times New Roman" w:hAnsi="Times New Roman" w:cs="Times New Roman"/>
          <w:b/>
          <w:bCs/>
          <w:sz w:val="24"/>
          <w:szCs w:val="24"/>
        </w:rPr>
        <w:t>Sulla nozione di segreto commerciale</w:t>
      </w:r>
    </w:p>
    <w:p w14:paraId="58B90DCC" w14:textId="5C1920B6" w:rsidR="000F31A2" w:rsidRPr="000F31A2" w:rsidRDefault="000F31A2" w:rsidP="000F31A2">
      <w:pPr>
        <w:spacing w:after="0"/>
        <w:jc w:val="both"/>
        <w:rPr>
          <w:rFonts w:ascii="Times New Roman" w:hAnsi="Times New Roman" w:cs="Times New Roman"/>
          <w:sz w:val="24"/>
          <w:szCs w:val="24"/>
        </w:rPr>
      </w:pPr>
      <w:r>
        <w:rPr>
          <w:rFonts w:ascii="Times New Roman" w:hAnsi="Times New Roman" w:cs="Times New Roman"/>
          <w:sz w:val="24"/>
          <w:szCs w:val="24"/>
        </w:rPr>
        <w:t>L</w:t>
      </w:r>
      <w:r w:rsidRPr="000F31A2">
        <w:rPr>
          <w:rFonts w:ascii="Times New Roman" w:hAnsi="Times New Roman" w:cs="Times New Roman"/>
          <w:sz w:val="24"/>
          <w:szCs w:val="24"/>
        </w:rPr>
        <w:t>’informazione da tutelare deve essere “</w:t>
      </w:r>
      <w:r w:rsidRPr="000F31A2">
        <w:rPr>
          <w:rFonts w:ascii="Times New Roman" w:hAnsi="Times New Roman" w:cs="Times New Roman"/>
          <w:b/>
          <w:bCs/>
          <w:sz w:val="24"/>
          <w:szCs w:val="24"/>
        </w:rPr>
        <w:t>connotata da comprovabili caratteri di segretezza oggettiva</w:t>
      </w:r>
      <w:r w:rsidRPr="000F31A2">
        <w:rPr>
          <w:rFonts w:ascii="Times New Roman" w:hAnsi="Times New Roman" w:cs="Times New Roman"/>
          <w:sz w:val="24"/>
          <w:szCs w:val="24"/>
        </w:rPr>
        <w:t xml:space="preserve">”, </w:t>
      </w:r>
      <w:r w:rsidRPr="000F31A2">
        <w:rPr>
          <w:rFonts w:ascii="Times New Roman" w:hAnsi="Times New Roman" w:cs="Times New Roman"/>
          <w:b/>
          <w:bCs/>
          <w:sz w:val="24"/>
          <w:szCs w:val="24"/>
        </w:rPr>
        <w:t>non essendo sufficiente</w:t>
      </w:r>
      <w:r w:rsidRPr="000F31A2">
        <w:rPr>
          <w:rFonts w:ascii="Times New Roman" w:hAnsi="Times New Roman" w:cs="Times New Roman"/>
          <w:sz w:val="24"/>
          <w:szCs w:val="24"/>
        </w:rPr>
        <w:t xml:space="preserve"> l’affermazione di un particolare </w:t>
      </w:r>
      <w:r w:rsidRPr="000F31A2">
        <w:rPr>
          <w:rFonts w:ascii="Times New Roman" w:hAnsi="Times New Roman" w:cs="Times New Roman"/>
          <w:b/>
          <w:bCs/>
          <w:sz w:val="24"/>
          <w:szCs w:val="24"/>
        </w:rPr>
        <w:t xml:space="preserve">know </w:t>
      </w:r>
      <w:proofErr w:type="spellStart"/>
      <w:r w:rsidRPr="000F31A2">
        <w:rPr>
          <w:rFonts w:ascii="Times New Roman" w:hAnsi="Times New Roman" w:cs="Times New Roman"/>
          <w:b/>
          <w:bCs/>
          <w:sz w:val="24"/>
          <w:szCs w:val="24"/>
        </w:rPr>
        <w:t>how</w:t>
      </w:r>
      <w:proofErr w:type="spellEnd"/>
      <w:r w:rsidRPr="000F31A2">
        <w:rPr>
          <w:rFonts w:ascii="Times New Roman" w:hAnsi="Times New Roman" w:cs="Times New Roman"/>
          <w:sz w:val="24"/>
          <w:szCs w:val="24"/>
        </w:rPr>
        <w:t xml:space="preserve"> o </w:t>
      </w:r>
      <w:r w:rsidRPr="000F31A2">
        <w:rPr>
          <w:rFonts w:ascii="Times New Roman" w:hAnsi="Times New Roman" w:cs="Times New Roman"/>
          <w:b/>
          <w:bCs/>
          <w:sz w:val="24"/>
          <w:szCs w:val="24"/>
        </w:rPr>
        <w:t>l’esistenza di un brevetto</w:t>
      </w:r>
      <w:r w:rsidRPr="000F31A2">
        <w:rPr>
          <w:rFonts w:ascii="Times New Roman" w:hAnsi="Times New Roman" w:cs="Times New Roman"/>
          <w:sz w:val="24"/>
          <w:szCs w:val="24"/>
        </w:rPr>
        <w:t xml:space="preserve">. Il concorrente </w:t>
      </w:r>
      <w:r w:rsidRPr="000F31A2">
        <w:rPr>
          <w:rFonts w:ascii="Times New Roman" w:hAnsi="Times New Roman" w:cs="Times New Roman"/>
          <w:b/>
          <w:bCs/>
          <w:sz w:val="24"/>
          <w:szCs w:val="24"/>
        </w:rPr>
        <w:t>deve dimostrare</w:t>
      </w:r>
      <w:r w:rsidRPr="000F31A2">
        <w:rPr>
          <w:rFonts w:ascii="Times New Roman" w:hAnsi="Times New Roman" w:cs="Times New Roman"/>
          <w:sz w:val="24"/>
          <w:szCs w:val="24"/>
        </w:rPr>
        <w:t xml:space="preserve"> (anche in coerenza </w:t>
      </w:r>
      <w:r w:rsidRPr="000F31A2">
        <w:rPr>
          <w:rFonts w:ascii="Times New Roman" w:hAnsi="Times New Roman" w:cs="Times New Roman"/>
          <w:b/>
          <w:bCs/>
          <w:sz w:val="24"/>
          <w:szCs w:val="24"/>
        </w:rPr>
        <w:t>con la definizione normativa di cui all’art. 98 del d.lgs. n. 30/2005</w:t>
      </w:r>
      <w:r w:rsidRPr="000F31A2">
        <w:rPr>
          <w:rFonts w:ascii="Times New Roman" w:hAnsi="Times New Roman" w:cs="Times New Roman"/>
          <w:sz w:val="24"/>
          <w:szCs w:val="24"/>
        </w:rPr>
        <w:t xml:space="preserve">) che il modello, ovvero </w:t>
      </w:r>
      <w:r w:rsidRPr="000F31A2">
        <w:rPr>
          <w:rFonts w:ascii="Times New Roman" w:hAnsi="Times New Roman" w:cs="Times New Roman"/>
          <w:b/>
          <w:bCs/>
          <w:sz w:val="24"/>
          <w:szCs w:val="24"/>
        </w:rPr>
        <w:t>l’idea da “proteggere” sia suscettibile di trovare applicazione in una serie indeterminata di affidamenti</w:t>
      </w:r>
      <w:r w:rsidRPr="000F31A2">
        <w:rPr>
          <w:rFonts w:ascii="Times New Roman" w:hAnsi="Times New Roman" w:cs="Times New Roman"/>
          <w:sz w:val="24"/>
          <w:szCs w:val="24"/>
        </w:rPr>
        <w:t xml:space="preserve"> </w:t>
      </w:r>
      <w:r w:rsidRPr="000F31A2">
        <w:rPr>
          <w:rFonts w:ascii="Times New Roman" w:hAnsi="Times New Roman" w:cs="Times New Roman"/>
          <w:b/>
          <w:bCs/>
          <w:sz w:val="24"/>
          <w:szCs w:val="24"/>
        </w:rPr>
        <w:t xml:space="preserve">e sia in grado di differenziare il valore della prestazione offerta </w:t>
      </w:r>
      <w:r w:rsidRPr="000F31A2">
        <w:rPr>
          <w:rFonts w:ascii="Times New Roman" w:hAnsi="Times New Roman" w:cs="Times New Roman"/>
          <w:sz w:val="24"/>
          <w:szCs w:val="24"/>
          <w:u w:val="single"/>
        </w:rPr>
        <w:t>solo</w:t>
      </w:r>
      <w:r w:rsidRPr="000F31A2">
        <w:rPr>
          <w:rFonts w:ascii="Times New Roman" w:hAnsi="Times New Roman" w:cs="Times New Roman"/>
          <w:sz w:val="24"/>
          <w:szCs w:val="24"/>
        </w:rPr>
        <w:t xml:space="preserve"> a condizione che gli altri operatori non ne vengano mai a conoscenza.</w:t>
      </w:r>
    </w:p>
    <w:p w14:paraId="4E532A91" w14:textId="77777777" w:rsidR="000F31A2" w:rsidRPr="000F31A2" w:rsidRDefault="000F31A2" w:rsidP="000F31A2">
      <w:pPr>
        <w:spacing w:after="0"/>
        <w:jc w:val="both"/>
        <w:rPr>
          <w:rFonts w:ascii="Times New Roman" w:hAnsi="Times New Roman" w:cs="Times New Roman"/>
          <w:sz w:val="24"/>
          <w:szCs w:val="24"/>
        </w:rPr>
      </w:pPr>
    </w:p>
    <w:p w14:paraId="0139B6D0" w14:textId="6794E63F" w:rsidR="000F31A2" w:rsidRPr="000F31A2" w:rsidRDefault="000F31A2" w:rsidP="000F31A2">
      <w:pPr>
        <w:spacing w:after="0"/>
        <w:jc w:val="both"/>
        <w:rPr>
          <w:rFonts w:ascii="Times New Roman" w:hAnsi="Times New Roman" w:cs="Times New Roman"/>
          <w:sz w:val="24"/>
          <w:szCs w:val="24"/>
        </w:rPr>
      </w:pPr>
      <w:r w:rsidRPr="000F31A2">
        <w:rPr>
          <w:rFonts w:ascii="Times New Roman" w:hAnsi="Times New Roman" w:cs="Times New Roman"/>
          <w:sz w:val="24"/>
          <w:szCs w:val="24"/>
        </w:rPr>
        <w:t>È verosimile, ad esempio, escludere l’esistenza di ragioni di riservatezza in settori caratterizzati da elevati tassi di standardizzazione delle filiere, da pratiche aziendali ampiamente diffuse tra tutti gli operatori e dall’impiego di manodopera per attività di assistenza.</w:t>
      </w:r>
    </w:p>
    <w:p w14:paraId="33BD8EFC" w14:textId="1EFAE293" w:rsidR="000F31A2" w:rsidRDefault="000F31A2" w:rsidP="00A9652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 </w:t>
      </w:r>
    </w:p>
    <w:p w14:paraId="46564822" w14:textId="77777777" w:rsidR="000F31A2" w:rsidRDefault="000F31A2" w:rsidP="00A9652B">
      <w:pPr>
        <w:spacing w:after="0"/>
        <w:jc w:val="both"/>
        <w:rPr>
          <w:rFonts w:ascii="Times New Roman" w:hAnsi="Times New Roman" w:cs="Times New Roman"/>
          <w:b/>
          <w:bCs/>
          <w:sz w:val="24"/>
          <w:szCs w:val="24"/>
        </w:rPr>
      </w:pPr>
    </w:p>
    <w:p w14:paraId="3F435D49" w14:textId="77777777" w:rsidR="000F31A2" w:rsidRDefault="000F31A2" w:rsidP="00A9652B">
      <w:pPr>
        <w:spacing w:after="0"/>
        <w:jc w:val="both"/>
        <w:rPr>
          <w:rFonts w:ascii="Times New Roman" w:hAnsi="Times New Roman" w:cs="Times New Roman"/>
          <w:b/>
          <w:bCs/>
          <w:sz w:val="24"/>
          <w:szCs w:val="24"/>
        </w:rPr>
      </w:pPr>
    </w:p>
    <w:p w14:paraId="425CA3B8" w14:textId="77777777" w:rsidR="000F31A2" w:rsidRDefault="000F31A2" w:rsidP="00A9652B">
      <w:pPr>
        <w:spacing w:after="0"/>
        <w:jc w:val="both"/>
        <w:rPr>
          <w:rFonts w:ascii="Times New Roman" w:hAnsi="Times New Roman" w:cs="Times New Roman"/>
          <w:b/>
          <w:bCs/>
          <w:sz w:val="24"/>
          <w:szCs w:val="24"/>
        </w:rPr>
      </w:pPr>
    </w:p>
    <w:p w14:paraId="21FA959D" w14:textId="165E7FE1" w:rsidR="000F31A2" w:rsidRDefault="000F31A2" w:rsidP="00A9652B">
      <w:pPr>
        <w:spacing w:after="0"/>
        <w:jc w:val="both"/>
        <w:rPr>
          <w:rFonts w:ascii="Times New Roman" w:hAnsi="Times New Roman" w:cs="Times New Roman"/>
          <w:b/>
          <w:bCs/>
          <w:sz w:val="24"/>
          <w:szCs w:val="24"/>
        </w:rPr>
      </w:pPr>
      <w:r w:rsidRPr="000F31A2">
        <w:rPr>
          <w:rFonts w:ascii="Times New Roman" w:hAnsi="Times New Roman" w:cs="Times New Roman"/>
          <w:b/>
          <w:bCs/>
          <w:sz w:val="24"/>
          <w:szCs w:val="24"/>
        </w:rPr>
        <w:lastRenderedPageBreak/>
        <w:t>T.A.R. Lombardia-Milano, sez. I, 11.11.2024, n. 3124, e T.A.R. Lombardia-Brescia, sez. I, ordinanza 28.11.2024, n. 952).</w:t>
      </w:r>
    </w:p>
    <w:p w14:paraId="4C3FBF3E" w14:textId="6AA04817" w:rsidR="000F31A2" w:rsidRPr="000F31A2" w:rsidRDefault="000F31A2" w:rsidP="00A9652B">
      <w:pPr>
        <w:spacing w:after="0"/>
        <w:jc w:val="both"/>
        <w:rPr>
          <w:rFonts w:ascii="Times New Roman" w:hAnsi="Times New Roman" w:cs="Times New Roman"/>
          <w:b/>
          <w:bCs/>
          <w:i/>
          <w:iCs/>
          <w:sz w:val="24"/>
          <w:szCs w:val="24"/>
        </w:rPr>
      </w:pPr>
      <w:r w:rsidRPr="000F31A2">
        <w:rPr>
          <w:rFonts w:ascii="Times New Roman" w:hAnsi="Times New Roman" w:cs="Times New Roman"/>
          <w:b/>
          <w:bCs/>
          <w:i/>
          <w:iCs/>
          <w:sz w:val="24"/>
          <w:szCs w:val="24"/>
        </w:rPr>
        <w:t>Sull’inammissibile richiesta di oscuramento dei dai personali</w:t>
      </w:r>
    </w:p>
    <w:p w14:paraId="287A0462" w14:textId="27A1B107" w:rsidR="000F31A2" w:rsidRDefault="000F31A2" w:rsidP="00A9652B">
      <w:pPr>
        <w:spacing w:after="0"/>
        <w:jc w:val="both"/>
        <w:rPr>
          <w:rFonts w:ascii="Times New Roman" w:hAnsi="Times New Roman" w:cs="Times New Roman"/>
          <w:sz w:val="24"/>
          <w:szCs w:val="24"/>
        </w:rPr>
      </w:pPr>
      <w:r w:rsidRPr="000F31A2">
        <w:rPr>
          <w:rFonts w:ascii="Times New Roman" w:hAnsi="Times New Roman" w:cs="Times New Roman"/>
          <w:sz w:val="24"/>
          <w:szCs w:val="24"/>
        </w:rPr>
        <w:t>Non possono essere oggetto di oscuramento i dati personali generici idonei ad identificare il soggetto interessato, in quanto “tali dati non hanno natura di dati personali sensibili (quali definiti dall’art. 9 del Regolamento 2016/679/UE del Parlamento e del Consiglio) o di dati giudiziari (quali definiti dall’art. 10 del Regolamento 2016/679/UE del Parlamento e del Consiglio) oppure di dati super-sensibili (art. 60, d.lgs. n. 196/1996)”. Sarebbero dunque accessibili i certificati del Casellario giudiziario e dei carichi pendenti dei soggetti dichiarati, le certificazioni ANAC ed Antimafia, le certificazioni degli Enti previdenziali e delle Agenzie erariali</w:t>
      </w:r>
    </w:p>
    <w:p w14:paraId="147887AE" w14:textId="77777777" w:rsidR="000F31A2" w:rsidRDefault="000F31A2" w:rsidP="00A9652B">
      <w:pPr>
        <w:spacing w:after="0"/>
        <w:jc w:val="both"/>
        <w:rPr>
          <w:rFonts w:ascii="Times New Roman" w:hAnsi="Times New Roman" w:cs="Times New Roman"/>
          <w:sz w:val="24"/>
          <w:szCs w:val="24"/>
        </w:rPr>
      </w:pPr>
    </w:p>
    <w:p w14:paraId="03CDFD82" w14:textId="15344584" w:rsidR="000F31A2" w:rsidRPr="000F31A2" w:rsidRDefault="000F31A2" w:rsidP="000F31A2">
      <w:pPr>
        <w:spacing w:after="0"/>
        <w:jc w:val="both"/>
        <w:rPr>
          <w:rFonts w:ascii="Times New Roman" w:hAnsi="Times New Roman" w:cs="Times New Roman"/>
          <w:sz w:val="24"/>
          <w:szCs w:val="24"/>
        </w:rPr>
      </w:pPr>
      <w:r w:rsidRPr="000F31A2">
        <w:rPr>
          <w:rFonts w:ascii="Times New Roman" w:hAnsi="Times New Roman" w:cs="Times New Roman"/>
          <w:sz w:val="24"/>
          <w:szCs w:val="24"/>
        </w:rPr>
        <w:t xml:space="preserve">Del resto, </w:t>
      </w:r>
      <w:r w:rsidRPr="000F31A2">
        <w:rPr>
          <w:rFonts w:ascii="Times New Roman" w:hAnsi="Times New Roman" w:cs="Times New Roman"/>
          <w:b/>
          <w:bCs/>
          <w:sz w:val="24"/>
          <w:szCs w:val="24"/>
        </w:rPr>
        <w:t xml:space="preserve">l’esistenza di un’indagine penale non implica di per sé la non </w:t>
      </w:r>
      <w:proofErr w:type="spellStart"/>
      <w:r w:rsidRPr="000F31A2">
        <w:rPr>
          <w:rFonts w:ascii="Times New Roman" w:hAnsi="Times New Roman" w:cs="Times New Roman"/>
          <w:b/>
          <w:bCs/>
          <w:sz w:val="24"/>
          <w:szCs w:val="24"/>
        </w:rPr>
        <w:t>ostensibilità</w:t>
      </w:r>
      <w:proofErr w:type="spellEnd"/>
      <w:r w:rsidRPr="000F31A2">
        <w:rPr>
          <w:rFonts w:ascii="Times New Roman" w:hAnsi="Times New Roman" w:cs="Times New Roman"/>
          <w:b/>
          <w:bCs/>
          <w:sz w:val="24"/>
          <w:szCs w:val="24"/>
        </w:rPr>
        <w:t xml:space="preserve"> degli atti e dei provvedimenti che possano risultare connessi con i fatti oggetto di indagine</w:t>
      </w:r>
      <w:r w:rsidRPr="000F31A2">
        <w:rPr>
          <w:rFonts w:ascii="Times New Roman" w:hAnsi="Times New Roman" w:cs="Times New Roman"/>
          <w:sz w:val="24"/>
          <w:szCs w:val="24"/>
        </w:rPr>
        <w:t xml:space="preserve">, </w:t>
      </w:r>
      <w:r w:rsidRPr="000F31A2">
        <w:rPr>
          <w:rFonts w:ascii="Times New Roman" w:hAnsi="Times New Roman" w:cs="Times New Roman"/>
          <w:b/>
          <w:bCs/>
          <w:sz w:val="24"/>
          <w:szCs w:val="24"/>
        </w:rPr>
        <w:t xml:space="preserve">salvo </w:t>
      </w:r>
      <w:r w:rsidRPr="000F31A2">
        <w:rPr>
          <w:rFonts w:ascii="Times New Roman" w:hAnsi="Times New Roman" w:cs="Times New Roman"/>
          <w:sz w:val="24"/>
          <w:szCs w:val="24"/>
        </w:rPr>
        <w:t xml:space="preserve">che gli atti e i provvedimenti in questione siano atti di indagine compiuti dal P.M. e dalla Polizia giudiziaria, ovvero (se provenienti da un’Amministrazione, nell’ambito della propria attività istituzionale, anche relativamente a funzioni di vigilanza, controllo e di accertamento di illeciti) </w:t>
      </w:r>
      <w:r w:rsidRPr="000F31A2">
        <w:rPr>
          <w:rFonts w:ascii="Times New Roman" w:hAnsi="Times New Roman" w:cs="Times New Roman"/>
          <w:b/>
          <w:bCs/>
          <w:sz w:val="24"/>
          <w:szCs w:val="24"/>
        </w:rPr>
        <w:t>siano coperti da segreto e siano stati sottoposti a sequestro</w:t>
      </w:r>
      <w:r w:rsidRPr="000F31A2">
        <w:rPr>
          <w:rFonts w:ascii="Times New Roman" w:hAnsi="Times New Roman" w:cs="Times New Roman"/>
          <w:sz w:val="24"/>
          <w:szCs w:val="24"/>
        </w:rPr>
        <w:t xml:space="preserve"> </w:t>
      </w:r>
      <w:r>
        <w:rPr>
          <w:rFonts w:ascii="Times New Roman" w:hAnsi="Times New Roman" w:cs="Times New Roman"/>
          <w:sz w:val="24"/>
          <w:szCs w:val="24"/>
        </w:rPr>
        <w:t>(</w:t>
      </w:r>
      <w:r w:rsidRPr="000F31A2">
        <w:rPr>
          <w:rFonts w:ascii="Times New Roman" w:hAnsi="Times New Roman" w:cs="Times New Roman"/>
          <w:sz w:val="24"/>
          <w:szCs w:val="24"/>
        </w:rPr>
        <w:t>T.A.R. Lombardia-Milano, sez. V, 2.12.2024, n. 3436).</w:t>
      </w:r>
    </w:p>
    <w:p w14:paraId="186BCAE4" w14:textId="4864F832" w:rsidR="00FF1EE3" w:rsidRDefault="000F31A2" w:rsidP="00A9652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 </w:t>
      </w:r>
    </w:p>
    <w:p w14:paraId="7F60D28D" w14:textId="2B7DD992" w:rsidR="000F31A2" w:rsidRDefault="006A2091" w:rsidP="00A9652B">
      <w:pPr>
        <w:spacing w:after="0"/>
        <w:jc w:val="both"/>
        <w:rPr>
          <w:rFonts w:ascii="Times New Roman" w:hAnsi="Times New Roman" w:cs="Times New Roman"/>
          <w:b/>
          <w:bCs/>
          <w:sz w:val="24"/>
          <w:szCs w:val="24"/>
        </w:rPr>
      </w:pPr>
      <w:r w:rsidRPr="006A2091">
        <w:rPr>
          <w:rFonts w:ascii="Times New Roman" w:hAnsi="Times New Roman" w:cs="Times New Roman"/>
          <w:b/>
          <w:bCs/>
          <w:sz w:val="24"/>
          <w:szCs w:val="24"/>
        </w:rPr>
        <w:t>T.A.R. Piemonte, sez. I, 4.12.2024, n. 1269</w:t>
      </w:r>
    </w:p>
    <w:p w14:paraId="10D4A5CC" w14:textId="3670D794" w:rsidR="006A2091" w:rsidRDefault="006A2091" w:rsidP="00A9652B">
      <w:pPr>
        <w:spacing w:after="0"/>
        <w:jc w:val="both"/>
        <w:rPr>
          <w:rFonts w:ascii="Times New Roman" w:hAnsi="Times New Roman" w:cs="Times New Roman"/>
          <w:b/>
          <w:bCs/>
          <w:sz w:val="24"/>
          <w:szCs w:val="24"/>
        </w:rPr>
      </w:pPr>
      <w:r>
        <w:rPr>
          <w:rFonts w:ascii="Times New Roman" w:hAnsi="Times New Roman" w:cs="Times New Roman"/>
          <w:b/>
          <w:bCs/>
          <w:sz w:val="24"/>
          <w:szCs w:val="24"/>
        </w:rPr>
        <w:t>Sul divieto di accesso alle piattaforme digitali</w:t>
      </w:r>
    </w:p>
    <w:p w14:paraId="1DD441A9" w14:textId="77777777" w:rsidR="006A2091" w:rsidRPr="006A2091" w:rsidRDefault="006A2091" w:rsidP="00A9652B">
      <w:pPr>
        <w:spacing w:after="0"/>
        <w:jc w:val="both"/>
        <w:rPr>
          <w:rFonts w:ascii="Times New Roman" w:hAnsi="Times New Roman" w:cs="Times New Roman"/>
          <w:b/>
          <w:bCs/>
          <w:sz w:val="24"/>
          <w:szCs w:val="24"/>
        </w:rPr>
      </w:pPr>
    </w:p>
    <w:p w14:paraId="35C54BC2" w14:textId="04C3E36E" w:rsidR="000F31A2" w:rsidRPr="006A2091" w:rsidRDefault="006A2091" w:rsidP="00A9652B">
      <w:pPr>
        <w:spacing w:after="0"/>
        <w:jc w:val="both"/>
        <w:rPr>
          <w:rFonts w:ascii="Times New Roman" w:hAnsi="Times New Roman" w:cs="Times New Roman"/>
          <w:sz w:val="24"/>
          <w:szCs w:val="24"/>
        </w:rPr>
      </w:pPr>
      <w:r>
        <w:rPr>
          <w:rFonts w:ascii="Times New Roman" w:hAnsi="Times New Roman" w:cs="Times New Roman"/>
          <w:sz w:val="24"/>
          <w:szCs w:val="24"/>
        </w:rPr>
        <w:t>L</w:t>
      </w:r>
      <w:r w:rsidRPr="006A2091">
        <w:rPr>
          <w:rFonts w:ascii="Times New Roman" w:hAnsi="Times New Roman" w:cs="Times New Roman"/>
          <w:sz w:val="24"/>
          <w:szCs w:val="24"/>
        </w:rPr>
        <w:t xml:space="preserve">’espressione deve essere declinata (a tutela dei diritti di privativa intellettuale) nel senso di escludere </w:t>
      </w:r>
      <w:r w:rsidRPr="006A2091">
        <w:rPr>
          <w:rFonts w:ascii="Times New Roman" w:hAnsi="Times New Roman" w:cs="Times New Roman"/>
          <w:b/>
          <w:bCs/>
          <w:sz w:val="24"/>
          <w:szCs w:val="24"/>
        </w:rPr>
        <w:t>ogni divulgazione attinente alle piattaforme stesse</w:t>
      </w:r>
      <w:r w:rsidRPr="006A2091">
        <w:rPr>
          <w:rFonts w:ascii="Times New Roman" w:hAnsi="Times New Roman" w:cs="Times New Roman"/>
          <w:sz w:val="24"/>
          <w:szCs w:val="24"/>
        </w:rPr>
        <w:t xml:space="preserve">, </w:t>
      </w:r>
      <w:r w:rsidRPr="006A2091">
        <w:rPr>
          <w:rFonts w:ascii="Times New Roman" w:hAnsi="Times New Roman" w:cs="Times New Roman"/>
          <w:b/>
          <w:bCs/>
          <w:sz w:val="24"/>
          <w:szCs w:val="24"/>
        </w:rPr>
        <w:t>incluso quindi il relativo codice sorgente</w:t>
      </w:r>
      <w:r w:rsidRPr="006A2091">
        <w:rPr>
          <w:rFonts w:ascii="Times New Roman" w:hAnsi="Times New Roman" w:cs="Times New Roman"/>
          <w:sz w:val="24"/>
          <w:szCs w:val="24"/>
        </w:rPr>
        <w:t xml:space="preserve">. Il divieto di accesso potrebbe essere superato </w:t>
      </w:r>
      <w:r w:rsidRPr="006A2091">
        <w:rPr>
          <w:rFonts w:ascii="Times New Roman" w:hAnsi="Times New Roman" w:cs="Times New Roman"/>
          <w:b/>
          <w:bCs/>
          <w:sz w:val="24"/>
          <w:szCs w:val="24"/>
        </w:rPr>
        <w:t>solo in ipotesi di conclamata insussistenza di altri mezzi di prova idonei a dimostrare i fatti oggetto di causa</w:t>
      </w:r>
      <w:r w:rsidRPr="006A2091">
        <w:rPr>
          <w:rFonts w:ascii="Times New Roman" w:hAnsi="Times New Roman" w:cs="Times New Roman"/>
          <w:sz w:val="24"/>
          <w:szCs w:val="24"/>
        </w:rPr>
        <w:t xml:space="preserve"> (nel caso della sentenza appena richiamata, il Collegio ha </w:t>
      </w:r>
      <w:r w:rsidRPr="006A2091">
        <w:rPr>
          <w:rFonts w:ascii="Times New Roman" w:hAnsi="Times New Roman" w:cs="Times New Roman"/>
          <w:b/>
          <w:bCs/>
          <w:sz w:val="24"/>
          <w:szCs w:val="24"/>
        </w:rPr>
        <w:t>ritenuto non indispensabile l’accesso al codice sorgente della piattaforma, potendosi eseguire le necessarie verifiche sui registri informatici contenenti il dettaglio di tutte le operazioni svolte sul sistema informatico</w:t>
      </w:r>
      <w:r w:rsidRPr="006A2091">
        <w:rPr>
          <w:rFonts w:ascii="Times New Roman" w:hAnsi="Times New Roman" w:cs="Times New Roman"/>
          <w:sz w:val="24"/>
          <w:szCs w:val="24"/>
        </w:rPr>
        <w:t xml:space="preserve"> [access log], onde verificare se la ricorrente avesse o meno dato l’“input” alla piattaforma per il calcolo dell’impronta digitale del file modificato, e nel caso di positivo riscontro, se il sistema avesse o meno fornito una risposta corretta).</w:t>
      </w:r>
    </w:p>
    <w:p w14:paraId="62B9F2B2" w14:textId="1C1573EE" w:rsidR="000F31A2" w:rsidRDefault="008438BA" w:rsidP="00A9652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______________________________ </w:t>
      </w:r>
    </w:p>
    <w:p w14:paraId="5A6B700E" w14:textId="77777777" w:rsidR="008438BA" w:rsidRDefault="008438BA" w:rsidP="00A9652B">
      <w:pPr>
        <w:spacing w:after="0"/>
        <w:jc w:val="both"/>
        <w:rPr>
          <w:rFonts w:ascii="Times New Roman" w:hAnsi="Times New Roman" w:cs="Times New Roman"/>
          <w:b/>
          <w:bCs/>
          <w:sz w:val="24"/>
          <w:szCs w:val="24"/>
        </w:rPr>
      </w:pPr>
    </w:p>
    <w:p w14:paraId="1114988F" w14:textId="6C292E07" w:rsidR="00A9652B" w:rsidRPr="00E3121D" w:rsidRDefault="00E3121D" w:rsidP="00A9652B">
      <w:pPr>
        <w:spacing w:after="0"/>
        <w:jc w:val="both"/>
        <w:rPr>
          <w:rFonts w:ascii="Times New Roman" w:hAnsi="Times New Roman" w:cs="Times New Roman"/>
          <w:b/>
          <w:bCs/>
          <w:sz w:val="24"/>
          <w:szCs w:val="24"/>
        </w:rPr>
      </w:pPr>
      <w:r w:rsidRPr="00E3121D">
        <w:rPr>
          <w:rFonts w:ascii="Times New Roman" w:hAnsi="Times New Roman" w:cs="Times New Roman"/>
          <w:b/>
          <w:bCs/>
          <w:sz w:val="24"/>
          <w:szCs w:val="24"/>
        </w:rPr>
        <w:t>Tar Lazio, Roma, 26.02.2024, n. 3811</w:t>
      </w:r>
    </w:p>
    <w:p w14:paraId="0F955C33" w14:textId="65E5B7A4" w:rsidR="00A9652B" w:rsidRDefault="00A9652B" w:rsidP="00A9652B">
      <w:pPr>
        <w:spacing w:after="0"/>
        <w:jc w:val="both"/>
        <w:rPr>
          <w:rFonts w:ascii="Times New Roman" w:hAnsi="Times New Roman" w:cs="Times New Roman"/>
          <w:b/>
          <w:bCs/>
          <w:i/>
          <w:iCs/>
          <w:sz w:val="24"/>
          <w:szCs w:val="24"/>
        </w:rPr>
      </w:pPr>
      <w:r>
        <w:rPr>
          <w:rFonts w:ascii="Times New Roman" w:hAnsi="Times New Roman" w:cs="Times New Roman"/>
          <w:b/>
          <w:bCs/>
          <w:i/>
          <w:iCs/>
          <w:sz w:val="24"/>
          <w:szCs w:val="24"/>
        </w:rPr>
        <w:t>Sulla valutazione circa la sussistenza del segreto commerciale</w:t>
      </w:r>
      <w:r w:rsidR="00E3121D">
        <w:rPr>
          <w:rFonts w:ascii="Times New Roman" w:hAnsi="Times New Roman" w:cs="Times New Roman"/>
          <w:b/>
          <w:bCs/>
          <w:i/>
          <w:iCs/>
          <w:sz w:val="24"/>
          <w:szCs w:val="24"/>
        </w:rPr>
        <w:t>, anche richiamando il disciplinare</w:t>
      </w:r>
    </w:p>
    <w:p w14:paraId="5AC959CA" w14:textId="77777777" w:rsidR="00E3121D" w:rsidRPr="00E3121D" w:rsidRDefault="00E3121D" w:rsidP="00E3121D">
      <w:pPr>
        <w:spacing w:after="0"/>
        <w:jc w:val="both"/>
        <w:rPr>
          <w:rFonts w:ascii="Times New Roman" w:hAnsi="Times New Roman" w:cs="Times New Roman"/>
          <w:sz w:val="24"/>
          <w:szCs w:val="24"/>
        </w:rPr>
      </w:pPr>
      <w:r w:rsidRPr="00E3121D">
        <w:rPr>
          <w:rFonts w:ascii="Times New Roman" w:hAnsi="Times New Roman" w:cs="Times New Roman"/>
          <w:sz w:val="24"/>
          <w:szCs w:val="24"/>
        </w:rPr>
        <w:t>É possibile, tuttavia, che la particolare struttura del disciplinare di gara avalli inferenze di tipo presuntivo circa la presenza nelle offerte di segreti tecnici e commerciali che attenuano l’onere probatorio concretamente richiesto ai controinteressati.</w:t>
      </w:r>
    </w:p>
    <w:p w14:paraId="4E5A0A95" w14:textId="798680BB" w:rsidR="00A9652B" w:rsidRPr="00A9652B" w:rsidRDefault="00E3121D" w:rsidP="00E3121D">
      <w:pPr>
        <w:spacing w:after="0"/>
        <w:jc w:val="both"/>
        <w:rPr>
          <w:rFonts w:ascii="Times New Roman" w:hAnsi="Times New Roman" w:cs="Times New Roman"/>
          <w:sz w:val="24"/>
          <w:szCs w:val="24"/>
        </w:rPr>
      </w:pPr>
      <w:r w:rsidRPr="00E3121D">
        <w:rPr>
          <w:rFonts w:ascii="Times New Roman" w:hAnsi="Times New Roman" w:cs="Times New Roman"/>
          <w:sz w:val="24"/>
          <w:szCs w:val="24"/>
        </w:rPr>
        <w:t xml:space="preserve">Nelle fattispecie, infatti, in cui </w:t>
      </w:r>
      <w:r w:rsidRPr="00296AA2">
        <w:rPr>
          <w:rFonts w:ascii="Times New Roman" w:hAnsi="Times New Roman" w:cs="Times New Roman"/>
          <w:b/>
          <w:bCs/>
          <w:sz w:val="24"/>
          <w:szCs w:val="24"/>
        </w:rPr>
        <w:t>la griglia di valutazione predisposta dalla stazione appaltante ai fini dell’individuazione dell’offerta economicamente più vantaggiosa esalta, in termini di premialità, le abilità organizzative, gestionali e informatiche dei concorrenti, promuovendo un confronto sulla qualità dei progetti e l’originalità delle soluzioni proposte e richiedendo, quindi, agli operatori economici partecipanti un evidente sforzo inventivo e la correlata attività di investimento necessario a realizzarlo</w:t>
      </w:r>
      <w:r w:rsidRPr="00E3121D">
        <w:rPr>
          <w:rFonts w:ascii="Times New Roman" w:hAnsi="Times New Roman" w:cs="Times New Roman"/>
          <w:sz w:val="24"/>
          <w:szCs w:val="24"/>
        </w:rPr>
        <w:t xml:space="preserve">, </w:t>
      </w:r>
      <w:r w:rsidRPr="00296AA2">
        <w:rPr>
          <w:rFonts w:ascii="Times New Roman" w:hAnsi="Times New Roman" w:cs="Times New Roman"/>
          <w:b/>
          <w:bCs/>
          <w:sz w:val="24"/>
          <w:szCs w:val="24"/>
        </w:rPr>
        <w:t>la prova circa l’esistenza del segreto, almeno in quella parte dell’offerta tecnica in cui vengono illustrati gli aspetti più direttamente espressivi dell’identità dell’impresa, può ritenersi “alleggerita”, in quanto la partecipazione ad una procedura così impostata sollecita, inevitabilmente, in ogni partecipante la proposta di modelli rappresentativi del suo peculiare know-how</w:t>
      </w:r>
      <w:r w:rsidRPr="00E3121D">
        <w:rPr>
          <w:rFonts w:ascii="Times New Roman" w:hAnsi="Times New Roman" w:cs="Times New Roman"/>
          <w:sz w:val="24"/>
          <w:szCs w:val="24"/>
        </w:rPr>
        <w:t xml:space="preserve">. La motivazione a giustificazione della tutela del segreto tecnico e commerciale può essere, pertanto, tratta anche per </w:t>
      </w:r>
      <w:proofErr w:type="spellStart"/>
      <w:r w:rsidRPr="00E3121D">
        <w:rPr>
          <w:rFonts w:ascii="Times New Roman" w:hAnsi="Times New Roman" w:cs="Times New Roman"/>
          <w:sz w:val="24"/>
          <w:szCs w:val="24"/>
        </w:rPr>
        <w:t>relationem</w:t>
      </w:r>
      <w:proofErr w:type="spellEnd"/>
      <w:r w:rsidRPr="00E3121D">
        <w:rPr>
          <w:rFonts w:ascii="Times New Roman" w:hAnsi="Times New Roman" w:cs="Times New Roman"/>
          <w:sz w:val="24"/>
          <w:szCs w:val="24"/>
        </w:rPr>
        <w:t xml:space="preserve"> dalla consultazione </w:t>
      </w:r>
      <w:r w:rsidRPr="00E3121D">
        <w:rPr>
          <w:rFonts w:ascii="Times New Roman" w:hAnsi="Times New Roman" w:cs="Times New Roman"/>
          <w:sz w:val="24"/>
          <w:szCs w:val="24"/>
        </w:rPr>
        <w:lastRenderedPageBreak/>
        <w:t>dei documenti di gara, laddove i profili oggetto di scrutinio da parte della commissione giudicatrice identificano il tipo di informazioni aziendali che l’operatore economico rende visibili con la partecipazione alla competizione e, quindi, il livello di intrusione nei propri affari che subisce in caso di accesso.</w:t>
      </w:r>
    </w:p>
    <w:p w14:paraId="1DB1D504" w14:textId="77777777" w:rsidR="00A9652B" w:rsidRDefault="00A9652B" w:rsidP="00A9652B">
      <w:pPr>
        <w:spacing w:after="0"/>
        <w:jc w:val="both"/>
        <w:rPr>
          <w:rFonts w:ascii="Times New Roman" w:hAnsi="Times New Roman" w:cs="Times New Roman"/>
          <w:b/>
          <w:bCs/>
          <w:i/>
          <w:iCs/>
          <w:sz w:val="24"/>
          <w:szCs w:val="24"/>
        </w:rPr>
      </w:pPr>
    </w:p>
    <w:p w14:paraId="03F97363" w14:textId="1CA18D6F" w:rsidR="00A9652B" w:rsidRPr="00A9652B" w:rsidRDefault="00A9652B" w:rsidP="00A9652B">
      <w:pPr>
        <w:spacing w:after="0"/>
        <w:jc w:val="both"/>
        <w:rPr>
          <w:rFonts w:ascii="Times New Roman" w:hAnsi="Times New Roman" w:cs="Times New Roman"/>
          <w:b/>
          <w:bCs/>
          <w:i/>
          <w:iCs/>
          <w:sz w:val="24"/>
          <w:szCs w:val="24"/>
        </w:rPr>
      </w:pPr>
      <w:r w:rsidRPr="00A9652B">
        <w:rPr>
          <w:rFonts w:ascii="Times New Roman" w:hAnsi="Times New Roman" w:cs="Times New Roman"/>
          <w:b/>
          <w:bCs/>
          <w:i/>
          <w:iCs/>
          <w:sz w:val="24"/>
          <w:szCs w:val="24"/>
        </w:rPr>
        <w:t>Sul</w:t>
      </w:r>
      <w:r>
        <w:rPr>
          <w:rFonts w:ascii="Times New Roman" w:hAnsi="Times New Roman" w:cs="Times New Roman"/>
          <w:b/>
          <w:bCs/>
          <w:i/>
          <w:iCs/>
          <w:sz w:val="24"/>
          <w:szCs w:val="24"/>
        </w:rPr>
        <w:t>la</w:t>
      </w:r>
      <w:r w:rsidRPr="00A9652B">
        <w:rPr>
          <w:rFonts w:ascii="Times New Roman" w:hAnsi="Times New Roman" w:cs="Times New Roman"/>
          <w:b/>
          <w:bCs/>
          <w:i/>
          <w:iCs/>
          <w:sz w:val="24"/>
          <w:szCs w:val="24"/>
        </w:rPr>
        <w:t xml:space="preserve"> valutazione della Stazione appaltante circa il bilanciamento tra l’esigenza di riservatezza aziendale e l’interesse difensivo</w:t>
      </w:r>
    </w:p>
    <w:p w14:paraId="0CF6A638" w14:textId="61AEA4E9" w:rsidR="00A9652B" w:rsidRPr="00A9652B" w:rsidRDefault="00A9652B" w:rsidP="00A9652B">
      <w:pPr>
        <w:spacing w:after="0"/>
        <w:jc w:val="both"/>
        <w:rPr>
          <w:rFonts w:ascii="Times New Roman" w:hAnsi="Times New Roman" w:cs="Times New Roman"/>
          <w:sz w:val="24"/>
          <w:szCs w:val="24"/>
        </w:rPr>
      </w:pPr>
      <w:r w:rsidRPr="00A9652B">
        <w:rPr>
          <w:rFonts w:ascii="Times New Roman" w:hAnsi="Times New Roman" w:cs="Times New Roman"/>
          <w:sz w:val="24"/>
          <w:szCs w:val="24"/>
        </w:rPr>
        <w:t>Il Consiglio di Stato, nella sua più autorevole composizione, ha, infatti, affermato che “</w:t>
      </w:r>
      <w:r w:rsidRPr="00A9652B">
        <w:rPr>
          <w:rFonts w:ascii="Times New Roman" w:hAnsi="Times New Roman" w:cs="Times New Roman"/>
          <w:b/>
          <w:bCs/>
          <w:sz w:val="24"/>
          <w:szCs w:val="24"/>
        </w:rPr>
        <w:t>L’eccezione di cui alla lett. a) è posta a tutela della riservatezza aziendale</w:t>
      </w:r>
      <w:r w:rsidRPr="00A9652B">
        <w:rPr>
          <w:rFonts w:ascii="Times New Roman" w:hAnsi="Times New Roman" w:cs="Times New Roman"/>
          <w:sz w:val="24"/>
          <w:szCs w:val="24"/>
        </w:rPr>
        <w:t xml:space="preserve">, al fine di evitare che gli operatori economici in diretta concorrenza si servano dell’accesso per acquisire informazioni riservate sul know-how del concorrente, costituenti segreti tecnici e commerciali, e ottenere così un indebito vantaggio e ha una natura assoluta perché, nel bilanciamento tra gli opposti interessi, il legislatore ha privilegiato quello, prevalente, della riservatezza, a tutela di un leale gioco concorrenziale, delle caratteristiche essenziali dell’offerta quali beni essenziali per lo sviluppo e per la stessa competizione qualitativa, che sono prodotto patrimoniale della capacità ideativa o acquisitiva della singola impresa (Cons. St., sez. V, 7 gennaio 2020, n. 64), </w:t>
      </w:r>
      <w:r w:rsidRPr="00A9652B">
        <w:rPr>
          <w:rFonts w:ascii="Times New Roman" w:hAnsi="Times New Roman" w:cs="Times New Roman"/>
          <w:b/>
          <w:bCs/>
          <w:sz w:val="24"/>
          <w:szCs w:val="24"/>
        </w:rPr>
        <w:t>salva la necessità, per un altro concorrente, di difendersi in giudizio, unica eccezione all’eccezione ammessa</w:t>
      </w:r>
      <w:r w:rsidRPr="00A9652B">
        <w:rPr>
          <w:rFonts w:ascii="Times New Roman" w:hAnsi="Times New Roman" w:cs="Times New Roman"/>
          <w:sz w:val="24"/>
          <w:szCs w:val="24"/>
        </w:rPr>
        <w:t xml:space="preserve"> (art. 53, comma 6, del d. lgs. n. 50 del 2016” (Cons. Stato, Ad. Pl., 2 aprile 2020, n. 10).</w:t>
      </w:r>
    </w:p>
    <w:p w14:paraId="6D536657" w14:textId="77777777" w:rsidR="00A9652B" w:rsidRPr="00A9652B" w:rsidRDefault="00A9652B" w:rsidP="00A9652B">
      <w:pPr>
        <w:spacing w:after="0"/>
        <w:jc w:val="both"/>
        <w:rPr>
          <w:rFonts w:ascii="Times New Roman" w:hAnsi="Times New Roman" w:cs="Times New Roman"/>
          <w:b/>
          <w:bCs/>
          <w:sz w:val="24"/>
          <w:szCs w:val="24"/>
        </w:rPr>
      </w:pPr>
      <w:r w:rsidRPr="00A9652B">
        <w:rPr>
          <w:rFonts w:ascii="Times New Roman" w:hAnsi="Times New Roman" w:cs="Times New Roman"/>
          <w:sz w:val="24"/>
          <w:szCs w:val="24"/>
        </w:rPr>
        <w:t xml:space="preserve">Laddove il richiedente </w:t>
      </w:r>
      <w:r w:rsidRPr="00A9652B">
        <w:rPr>
          <w:rFonts w:ascii="Times New Roman" w:hAnsi="Times New Roman" w:cs="Times New Roman"/>
          <w:b/>
          <w:bCs/>
          <w:sz w:val="24"/>
          <w:szCs w:val="24"/>
        </w:rPr>
        <w:t>non provi, anche in via indiziaria, che non è possibile difendere i propri interessi se non con la disponibilità delle informazioni riservate, il presupposto in questione non può dirsi integrato, in quanto il pregiudizio inferto alla segretezza del know-how risulterebbe ingiustificato.</w:t>
      </w:r>
    </w:p>
    <w:p w14:paraId="15D1F76D" w14:textId="338A1A0F" w:rsidR="00BA7B54" w:rsidRDefault="00A9652B" w:rsidP="00A9652B">
      <w:pPr>
        <w:spacing w:after="0"/>
        <w:jc w:val="both"/>
        <w:rPr>
          <w:rFonts w:ascii="Times New Roman" w:hAnsi="Times New Roman" w:cs="Times New Roman"/>
          <w:sz w:val="24"/>
          <w:szCs w:val="24"/>
        </w:rPr>
      </w:pPr>
      <w:r w:rsidRPr="00A9652B">
        <w:rPr>
          <w:rFonts w:ascii="Times New Roman" w:hAnsi="Times New Roman" w:cs="Times New Roman"/>
          <w:sz w:val="24"/>
          <w:szCs w:val="24"/>
        </w:rPr>
        <w:t xml:space="preserve">Conseguentemente, la giurisprudenza esclude che </w:t>
      </w:r>
      <w:r w:rsidRPr="00A9652B">
        <w:rPr>
          <w:rFonts w:ascii="Times New Roman" w:hAnsi="Times New Roman" w:cs="Times New Roman"/>
          <w:b/>
          <w:bCs/>
          <w:sz w:val="24"/>
          <w:szCs w:val="24"/>
        </w:rPr>
        <w:t>generici riferimenti “a non meglio precisate esigenze probatorie e difensive</w:t>
      </w:r>
      <w:r w:rsidRPr="00A9652B">
        <w:rPr>
          <w:rFonts w:ascii="Times New Roman" w:hAnsi="Times New Roman" w:cs="Times New Roman"/>
          <w:sz w:val="24"/>
          <w:szCs w:val="24"/>
        </w:rPr>
        <w:t xml:space="preserve">” siano sufficienti per entrare in possesso del know-how altrui (Cons. Stato, Sez. V, </w:t>
      </w:r>
      <w:proofErr w:type="spellStart"/>
      <w:r w:rsidRPr="00A9652B">
        <w:rPr>
          <w:rFonts w:ascii="Times New Roman" w:hAnsi="Times New Roman" w:cs="Times New Roman"/>
          <w:sz w:val="24"/>
          <w:szCs w:val="24"/>
        </w:rPr>
        <w:t>ord</w:t>
      </w:r>
      <w:proofErr w:type="spellEnd"/>
      <w:r w:rsidRPr="00A9652B">
        <w:rPr>
          <w:rFonts w:ascii="Times New Roman" w:hAnsi="Times New Roman" w:cs="Times New Roman"/>
          <w:sz w:val="24"/>
          <w:szCs w:val="24"/>
        </w:rPr>
        <w:t xml:space="preserve">. 24 gennaio 2023, n. 787). In tal caso, infatti, esisterebbe un chiaro segnale della </w:t>
      </w:r>
      <w:r w:rsidRPr="00A9652B">
        <w:rPr>
          <w:rFonts w:ascii="Times New Roman" w:hAnsi="Times New Roman" w:cs="Times New Roman"/>
          <w:b/>
          <w:bCs/>
          <w:sz w:val="24"/>
          <w:szCs w:val="24"/>
        </w:rPr>
        <w:t>natura “esplorativa” dell’accesso</w:t>
      </w:r>
      <w:r w:rsidRPr="00A9652B">
        <w:rPr>
          <w:rFonts w:ascii="Times New Roman" w:hAnsi="Times New Roman" w:cs="Times New Roman"/>
          <w:sz w:val="24"/>
          <w:szCs w:val="24"/>
        </w:rPr>
        <w:t>, che l’ordinamento non ammette, se non nei limiti dell’accesso civico, di cui si dirà infra.</w:t>
      </w:r>
    </w:p>
    <w:p w14:paraId="3D0189FA" w14:textId="1125E1B3" w:rsidR="0053519E" w:rsidRDefault="0053519E" w:rsidP="00A9652B">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sidR="003005F1">
        <w:rPr>
          <w:rFonts w:ascii="Times New Roman" w:hAnsi="Times New Roman" w:cs="Times New Roman"/>
          <w:sz w:val="24"/>
          <w:szCs w:val="24"/>
        </w:rPr>
        <w:t xml:space="preserve"> </w:t>
      </w:r>
    </w:p>
    <w:p w14:paraId="553AA30B" w14:textId="77777777" w:rsidR="003005F1" w:rsidRPr="003005F1" w:rsidRDefault="003005F1" w:rsidP="003005F1">
      <w:pPr>
        <w:spacing w:after="0"/>
        <w:jc w:val="both"/>
        <w:rPr>
          <w:rFonts w:ascii="Times New Roman" w:hAnsi="Times New Roman" w:cs="Times New Roman"/>
          <w:b/>
          <w:bCs/>
          <w:sz w:val="24"/>
          <w:szCs w:val="24"/>
        </w:rPr>
      </w:pPr>
      <w:r w:rsidRPr="003005F1">
        <w:rPr>
          <w:rFonts w:ascii="Times New Roman" w:hAnsi="Times New Roman" w:cs="Times New Roman"/>
          <w:b/>
          <w:bCs/>
          <w:sz w:val="24"/>
          <w:szCs w:val="24"/>
        </w:rPr>
        <w:t xml:space="preserve">TAR VENETO, SEZ. I – sentenza 4 febbraio 2025 n. 170 </w:t>
      </w:r>
    </w:p>
    <w:p w14:paraId="458DBCAE" w14:textId="77777777" w:rsidR="003005F1" w:rsidRPr="003005F1" w:rsidRDefault="003005F1" w:rsidP="003005F1">
      <w:pPr>
        <w:spacing w:after="0"/>
        <w:jc w:val="both"/>
        <w:rPr>
          <w:rFonts w:ascii="Times New Roman" w:hAnsi="Times New Roman" w:cs="Times New Roman"/>
          <w:b/>
          <w:bCs/>
          <w:sz w:val="24"/>
          <w:szCs w:val="24"/>
        </w:rPr>
      </w:pPr>
      <w:r w:rsidRPr="003005F1">
        <w:rPr>
          <w:rFonts w:ascii="Times New Roman" w:hAnsi="Times New Roman" w:cs="Times New Roman"/>
          <w:b/>
          <w:bCs/>
          <w:sz w:val="24"/>
          <w:szCs w:val="24"/>
        </w:rPr>
        <w:t>Sul diritto di accesso (in capo al secondo in graduatoria) alla cauzione definitiva e agli atti prodotti dall’aggiudicatario</w:t>
      </w:r>
    </w:p>
    <w:p w14:paraId="698C3753" w14:textId="77777777" w:rsidR="003005F1" w:rsidRPr="003005F1" w:rsidRDefault="003005F1" w:rsidP="003005F1">
      <w:pPr>
        <w:spacing w:after="0"/>
        <w:jc w:val="both"/>
        <w:rPr>
          <w:rFonts w:ascii="Times New Roman" w:hAnsi="Times New Roman" w:cs="Times New Roman"/>
          <w:sz w:val="24"/>
          <w:szCs w:val="24"/>
        </w:rPr>
      </w:pPr>
      <w:r w:rsidRPr="003005F1">
        <w:rPr>
          <w:rFonts w:ascii="Times New Roman" w:hAnsi="Times New Roman" w:cs="Times New Roman"/>
          <w:sz w:val="24"/>
          <w:szCs w:val="24"/>
        </w:rPr>
        <w:t>Sussiste in capo ad un operatore economico che ha partecipato ad una gara di appalto di forniture e che si è classificato al secondo posto della graduatoria, il diritto di accedere alla garanzia definitiva prodotta dall’aggiudicatario ed alle valutazioni e modalità osservate per determinare il relativo ammontare. L’operatore economico classificatosi secondo è legittimato ad accedere ai documenti acquisiti dall’Amministrazione dopo l’aggiudicazione in vista della stipula del contratto; è ravvisabile un interesse concreto e attuale, ai sensi dell’art. 22 della l. n. 241 del 1990, ed una conseguente legittimazione, ad avere accesso agli atti della fase esecutiva di un contratto pubblico da parte di un concorrente alla gara, in relazione a vicende che potrebbero condurre alla risoluzione per inadempimento dell’aggiudicatario e quindi allo scorrimento della graduatoria o alla riedizione della gara, purché tale istanza non si traduca in una generica volontà da parte del terzo istante di verificare il corretto svolgimento del rapporto contrattuale. Il concorrente classificatosi secondo ha un interesse diretto all’ostensione della garanzia definitiva presentata dall’aggiudicatario, in quanto in caso di decadenza dall’aggiudicazione del concorrente vittorioso, potrebbe risultare aggiudicataria del contratto.</w:t>
      </w:r>
    </w:p>
    <w:p w14:paraId="2556E539" w14:textId="43335C5E" w:rsidR="003005F1" w:rsidRDefault="003005F1" w:rsidP="003005F1">
      <w:pPr>
        <w:spacing w:after="0"/>
        <w:jc w:val="both"/>
        <w:rPr>
          <w:rFonts w:ascii="Times New Roman" w:hAnsi="Times New Roman" w:cs="Times New Roman"/>
          <w:sz w:val="24"/>
          <w:szCs w:val="24"/>
        </w:rPr>
      </w:pPr>
      <w:r w:rsidRPr="003005F1">
        <w:rPr>
          <w:rFonts w:ascii="Times New Roman" w:hAnsi="Times New Roman" w:cs="Times New Roman"/>
          <w:sz w:val="24"/>
          <w:szCs w:val="24"/>
        </w:rPr>
        <w:t>_____________________________</w:t>
      </w:r>
    </w:p>
    <w:p w14:paraId="43864B86" w14:textId="77777777" w:rsidR="0053519E" w:rsidRDefault="0053519E" w:rsidP="00A9652B">
      <w:pPr>
        <w:spacing w:after="0"/>
        <w:jc w:val="both"/>
        <w:rPr>
          <w:rFonts w:ascii="Times New Roman" w:hAnsi="Times New Roman" w:cs="Times New Roman"/>
          <w:sz w:val="24"/>
          <w:szCs w:val="24"/>
        </w:rPr>
      </w:pPr>
    </w:p>
    <w:p w14:paraId="4600EC45" w14:textId="77777777" w:rsidR="0053519E" w:rsidRPr="0053519E" w:rsidRDefault="0053519E" w:rsidP="0053519E">
      <w:pPr>
        <w:spacing w:after="0"/>
        <w:jc w:val="both"/>
        <w:rPr>
          <w:rFonts w:ascii="Times New Roman" w:hAnsi="Times New Roman" w:cs="Times New Roman"/>
          <w:b/>
          <w:bCs/>
          <w:sz w:val="24"/>
          <w:szCs w:val="24"/>
        </w:rPr>
      </w:pPr>
      <w:r w:rsidRPr="0053519E">
        <w:rPr>
          <w:rFonts w:ascii="Times New Roman" w:hAnsi="Times New Roman" w:cs="Times New Roman"/>
          <w:b/>
          <w:bCs/>
          <w:sz w:val="24"/>
          <w:szCs w:val="24"/>
        </w:rPr>
        <w:t>T.A.R. Campania Napoli - Sentenza n. 7119 del 22/12/2023</w:t>
      </w:r>
    </w:p>
    <w:p w14:paraId="2C74F1C7" w14:textId="5097A992" w:rsidR="0053519E" w:rsidRPr="0053519E" w:rsidRDefault="0053519E" w:rsidP="0053519E">
      <w:pPr>
        <w:spacing w:after="0"/>
        <w:jc w:val="both"/>
        <w:rPr>
          <w:rFonts w:ascii="Times New Roman" w:hAnsi="Times New Roman" w:cs="Times New Roman"/>
          <w:b/>
          <w:bCs/>
          <w:sz w:val="24"/>
          <w:szCs w:val="24"/>
        </w:rPr>
      </w:pPr>
      <w:r w:rsidRPr="0053519E">
        <w:rPr>
          <w:rFonts w:ascii="Times New Roman" w:hAnsi="Times New Roman" w:cs="Times New Roman"/>
          <w:b/>
          <w:bCs/>
          <w:sz w:val="24"/>
          <w:szCs w:val="24"/>
        </w:rPr>
        <w:lastRenderedPageBreak/>
        <w:t>A</w:t>
      </w:r>
      <w:r>
        <w:rPr>
          <w:rFonts w:ascii="Times New Roman" w:hAnsi="Times New Roman" w:cs="Times New Roman"/>
          <w:b/>
          <w:bCs/>
          <w:sz w:val="24"/>
          <w:szCs w:val="24"/>
        </w:rPr>
        <w:t>ccesso agli atti delle procedure contrattuali</w:t>
      </w:r>
      <w:r w:rsidRPr="0053519E">
        <w:rPr>
          <w:rFonts w:ascii="Times New Roman" w:hAnsi="Times New Roman" w:cs="Times New Roman"/>
          <w:b/>
          <w:bCs/>
          <w:sz w:val="24"/>
          <w:szCs w:val="24"/>
        </w:rPr>
        <w:t xml:space="preserve"> (Silenzio-diniego)</w:t>
      </w:r>
    </w:p>
    <w:p w14:paraId="301A6EEF" w14:textId="65512C2A" w:rsidR="0053519E" w:rsidRDefault="0053519E" w:rsidP="0053519E">
      <w:pPr>
        <w:spacing w:after="0"/>
        <w:jc w:val="both"/>
        <w:rPr>
          <w:rFonts w:ascii="Times New Roman" w:hAnsi="Times New Roman" w:cs="Times New Roman"/>
          <w:sz w:val="24"/>
          <w:szCs w:val="24"/>
        </w:rPr>
      </w:pPr>
      <w:r w:rsidRPr="0053519E">
        <w:rPr>
          <w:rFonts w:ascii="Times New Roman" w:hAnsi="Times New Roman" w:cs="Times New Roman"/>
          <w:sz w:val="24"/>
          <w:szCs w:val="24"/>
        </w:rPr>
        <w:t>Se la stazione appaltante non risponde nel termine di 30 giorni all’istanza di accesso agli atti di gara, si configura un silenzio rigetto ai sensi dell’art. 25, comma 4, L. 241/90</w:t>
      </w:r>
      <w:r>
        <w:rPr>
          <w:rFonts w:ascii="Times New Roman" w:hAnsi="Times New Roman" w:cs="Times New Roman"/>
          <w:sz w:val="24"/>
          <w:szCs w:val="24"/>
        </w:rPr>
        <w:t>.</w:t>
      </w:r>
    </w:p>
    <w:p w14:paraId="1A0A879B" w14:textId="239B1ABA" w:rsidR="0053519E" w:rsidRDefault="0053519E" w:rsidP="0053519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w:t>
      </w:r>
      <w:r w:rsidR="00FF1EE3">
        <w:rPr>
          <w:rFonts w:ascii="Times New Roman" w:hAnsi="Times New Roman" w:cs="Times New Roman"/>
          <w:sz w:val="24"/>
          <w:szCs w:val="24"/>
        </w:rPr>
        <w:t xml:space="preserve">  </w:t>
      </w:r>
    </w:p>
    <w:p w14:paraId="32623C00" w14:textId="77777777" w:rsidR="00FF1EE3" w:rsidRPr="00FF1EE3" w:rsidRDefault="00FF1EE3" w:rsidP="00FF1EE3">
      <w:pPr>
        <w:spacing w:after="0"/>
        <w:jc w:val="both"/>
        <w:rPr>
          <w:rFonts w:ascii="Times New Roman" w:hAnsi="Times New Roman" w:cs="Times New Roman"/>
          <w:b/>
          <w:bCs/>
          <w:sz w:val="24"/>
          <w:szCs w:val="24"/>
        </w:rPr>
      </w:pPr>
      <w:r w:rsidRPr="00FF1EE3">
        <w:rPr>
          <w:rFonts w:ascii="Times New Roman" w:hAnsi="Times New Roman" w:cs="Times New Roman"/>
          <w:b/>
          <w:bCs/>
          <w:sz w:val="24"/>
          <w:szCs w:val="24"/>
        </w:rPr>
        <w:t>Consiglio di Stato - Sentenza n. 3642 del 10/05/2022</w:t>
      </w:r>
    </w:p>
    <w:p w14:paraId="7DA49A5F" w14:textId="080FD9CE" w:rsidR="00FF1EE3" w:rsidRPr="00FF1EE3" w:rsidRDefault="00FF1EE3" w:rsidP="00FF1EE3">
      <w:pPr>
        <w:spacing w:after="0"/>
        <w:jc w:val="both"/>
        <w:rPr>
          <w:rFonts w:ascii="Times New Roman" w:hAnsi="Times New Roman" w:cs="Times New Roman"/>
          <w:b/>
          <w:bCs/>
          <w:sz w:val="24"/>
          <w:szCs w:val="24"/>
        </w:rPr>
      </w:pPr>
      <w:r w:rsidRPr="00FF1EE3">
        <w:rPr>
          <w:rFonts w:ascii="Times New Roman" w:hAnsi="Times New Roman" w:cs="Times New Roman"/>
          <w:b/>
          <w:bCs/>
          <w:sz w:val="24"/>
          <w:szCs w:val="24"/>
        </w:rPr>
        <w:t xml:space="preserve">Sulla legittimità del diniego in caso </w:t>
      </w:r>
      <w:r>
        <w:rPr>
          <w:rFonts w:ascii="Times New Roman" w:hAnsi="Times New Roman" w:cs="Times New Roman"/>
          <w:b/>
          <w:bCs/>
          <w:sz w:val="24"/>
          <w:szCs w:val="24"/>
        </w:rPr>
        <w:t xml:space="preserve">di </w:t>
      </w:r>
      <w:r w:rsidRPr="00FF1EE3">
        <w:rPr>
          <w:rFonts w:ascii="Times New Roman" w:hAnsi="Times New Roman" w:cs="Times New Roman"/>
          <w:b/>
          <w:bCs/>
          <w:sz w:val="24"/>
          <w:szCs w:val="24"/>
        </w:rPr>
        <w:t xml:space="preserve">richiesta di </w:t>
      </w:r>
      <w:r w:rsidRPr="00FF1EE3">
        <w:rPr>
          <w:rFonts w:ascii="Times New Roman" w:hAnsi="Times New Roman" w:cs="Times New Roman"/>
          <w:b/>
          <w:bCs/>
          <w:sz w:val="24"/>
          <w:szCs w:val="24"/>
          <w:u w:val="single"/>
        </w:rPr>
        <w:t>acceso generalizzato</w:t>
      </w:r>
      <w:r w:rsidRPr="00FF1EE3">
        <w:rPr>
          <w:rFonts w:ascii="Times New Roman" w:hAnsi="Times New Roman" w:cs="Times New Roman"/>
          <w:b/>
          <w:bCs/>
          <w:sz w:val="24"/>
          <w:szCs w:val="24"/>
        </w:rPr>
        <w:t xml:space="preserve"> ad un’offerta tecnica </w:t>
      </w:r>
    </w:p>
    <w:p w14:paraId="2EC32E91" w14:textId="01EB1908" w:rsidR="00FF1EE3" w:rsidRPr="00296AA2" w:rsidRDefault="00FF1EE3" w:rsidP="00FF1EE3">
      <w:pPr>
        <w:spacing w:after="0"/>
        <w:jc w:val="both"/>
        <w:rPr>
          <w:rFonts w:ascii="Times New Roman" w:hAnsi="Times New Roman" w:cs="Times New Roman"/>
          <w:i/>
          <w:iCs/>
          <w:sz w:val="24"/>
          <w:szCs w:val="24"/>
          <w:u w:val="single"/>
        </w:rPr>
      </w:pPr>
      <w:proofErr w:type="gramStart"/>
      <w:r w:rsidRPr="00FF1EE3">
        <w:rPr>
          <w:rFonts w:ascii="Times New Roman" w:hAnsi="Times New Roman" w:cs="Times New Roman"/>
          <w:sz w:val="24"/>
          <w:szCs w:val="24"/>
        </w:rPr>
        <w:t>E’</w:t>
      </w:r>
      <w:proofErr w:type="gramEnd"/>
      <w:r w:rsidRPr="00FF1EE3">
        <w:rPr>
          <w:rFonts w:ascii="Times New Roman" w:hAnsi="Times New Roman" w:cs="Times New Roman"/>
          <w:sz w:val="24"/>
          <w:szCs w:val="24"/>
        </w:rPr>
        <w:t xml:space="preserve"> legittimo il diniego dell’istanza di accesso civico generalizzato ad un’offerta tecnica dell’aggiudicataria che richiama l’opposizione di quest’ultima così motivata: &lt;&lt;</w:t>
      </w:r>
      <w:r w:rsidRPr="00296AA2">
        <w:rPr>
          <w:rFonts w:ascii="Times New Roman" w:hAnsi="Times New Roman" w:cs="Times New Roman"/>
          <w:i/>
          <w:iCs/>
          <w:sz w:val="24"/>
          <w:szCs w:val="24"/>
          <w:u w:val="single"/>
        </w:rPr>
        <w:t>l’offerta presentata rivela elementi tecnici ed economici, organizzativi ed esperienza tecnico-industriale, comprese quelle commerciale e finanziaria, che costituiscono informazioni strategiche e commercialmente sensibili</w:t>
      </w:r>
      <w:proofErr w:type="gramStart"/>
      <w:r w:rsidRPr="00296AA2">
        <w:rPr>
          <w:rFonts w:ascii="Times New Roman" w:hAnsi="Times New Roman" w:cs="Times New Roman"/>
          <w:i/>
          <w:iCs/>
          <w:sz w:val="24"/>
          <w:szCs w:val="24"/>
          <w:u w:val="single"/>
        </w:rPr>
        <w:t xml:space="preserve"> ..</w:t>
      </w:r>
      <w:proofErr w:type="gramEnd"/>
    </w:p>
    <w:p w14:paraId="10DE347D" w14:textId="535A71B2" w:rsidR="00FF1EE3" w:rsidRPr="00296AA2" w:rsidRDefault="00FF1EE3" w:rsidP="00FF1EE3">
      <w:pPr>
        <w:spacing w:after="0"/>
        <w:jc w:val="both"/>
        <w:rPr>
          <w:rFonts w:ascii="Times New Roman" w:hAnsi="Times New Roman" w:cs="Times New Roman"/>
          <w:i/>
          <w:iCs/>
          <w:sz w:val="24"/>
          <w:szCs w:val="24"/>
          <w:u w:val="single"/>
        </w:rPr>
      </w:pPr>
      <w:r w:rsidRPr="00296AA2">
        <w:rPr>
          <w:rFonts w:ascii="Times New Roman" w:hAnsi="Times New Roman" w:cs="Times New Roman"/>
          <w:i/>
          <w:iCs/>
          <w:sz w:val="24"/>
          <w:szCs w:val="24"/>
          <w:u w:val="single"/>
        </w:rPr>
        <w:t xml:space="preserve">L’ostensione finirebbe per impingere nelle esigenze di riservatezza in materia commerciale tutelate dall'art. 5-bis, comma 2, lett. c), </w:t>
      </w:r>
      <w:proofErr w:type="spellStart"/>
      <w:r w:rsidRPr="00296AA2">
        <w:rPr>
          <w:rFonts w:ascii="Times New Roman" w:hAnsi="Times New Roman" w:cs="Times New Roman"/>
          <w:i/>
          <w:iCs/>
          <w:sz w:val="24"/>
          <w:szCs w:val="24"/>
          <w:u w:val="single"/>
        </w:rPr>
        <w:t>D.Lgs.</w:t>
      </w:r>
      <w:proofErr w:type="spellEnd"/>
      <w:r w:rsidRPr="00296AA2">
        <w:rPr>
          <w:rFonts w:ascii="Times New Roman" w:hAnsi="Times New Roman" w:cs="Times New Roman"/>
          <w:i/>
          <w:iCs/>
          <w:sz w:val="24"/>
          <w:szCs w:val="24"/>
          <w:u w:val="single"/>
        </w:rPr>
        <w:t xml:space="preserve"> 33/2013</w:t>
      </w:r>
    </w:p>
    <w:p w14:paraId="60A4F4D5" w14:textId="379061A6" w:rsidR="00FF1EE3" w:rsidRDefault="00FF1EE3" w:rsidP="00FF1EE3">
      <w:pPr>
        <w:spacing w:after="0"/>
        <w:jc w:val="both"/>
        <w:rPr>
          <w:rFonts w:ascii="Times New Roman" w:hAnsi="Times New Roman" w:cs="Times New Roman"/>
          <w:b/>
          <w:bCs/>
          <w:sz w:val="24"/>
          <w:szCs w:val="24"/>
        </w:rPr>
      </w:pPr>
      <w:r w:rsidRPr="00FF1EE3">
        <w:rPr>
          <w:rFonts w:ascii="Times New Roman" w:hAnsi="Times New Roman" w:cs="Times New Roman"/>
          <w:sz w:val="24"/>
          <w:szCs w:val="24"/>
        </w:rPr>
        <w:t xml:space="preserve">L’impresa seconda classificata che ha appreso del ritardo nella esecuzione del contratto non ha diritto di accedere all’offerta tecnica di quest’ultima ed agli atti del rapporto contrattuale (ammontare delle penali irrogate, modifiche contrattuali intervenute, ecc.)  </w:t>
      </w:r>
      <w:r w:rsidRPr="00FF1EE3">
        <w:rPr>
          <w:rFonts w:ascii="Times New Roman" w:hAnsi="Times New Roman" w:cs="Times New Roman"/>
          <w:b/>
          <w:bCs/>
          <w:sz w:val="24"/>
          <w:szCs w:val="24"/>
        </w:rPr>
        <w:t>se non indica in cosa è consistito il ritardo e quale parte del cronoprogramma non è stato rispettate, atteso che, in mancanza di tali precisazioni, non può dirsi che vi sia “una seria prospettiva di risoluzione del rapporto”.</w:t>
      </w:r>
    </w:p>
    <w:p w14:paraId="61CBE7E3" w14:textId="0A0CEDDC" w:rsidR="00FF1EE3" w:rsidRDefault="00FF1EE3" w:rsidP="00FF1EE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_______________________________ </w:t>
      </w:r>
    </w:p>
    <w:p w14:paraId="0B144C84" w14:textId="77777777" w:rsidR="00FF1EE3" w:rsidRDefault="00FF1EE3" w:rsidP="00FF1EE3">
      <w:pPr>
        <w:spacing w:after="0"/>
        <w:jc w:val="both"/>
        <w:rPr>
          <w:rFonts w:ascii="Times New Roman" w:hAnsi="Times New Roman" w:cs="Times New Roman"/>
          <w:b/>
          <w:bCs/>
          <w:sz w:val="24"/>
          <w:szCs w:val="24"/>
        </w:rPr>
      </w:pPr>
    </w:p>
    <w:p w14:paraId="2C36AA1A" w14:textId="07B6CE48" w:rsidR="00FF1EE3" w:rsidRPr="00FF1EE3" w:rsidRDefault="00FF1EE3" w:rsidP="00FF1EE3">
      <w:pPr>
        <w:spacing w:after="0"/>
        <w:jc w:val="both"/>
        <w:rPr>
          <w:rFonts w:ascii="Times New Roman" w:hAnsi="Times New Roman" w:cs="Times New Roman"/>
          <w:b/>
          <w:bCs/>
          <w:sz w:val="24"/>
          <w:szCs w:val="24"/>
        </w:rPr>
      </w:pPr>
      <w:r w:rsidRPr="00FF1EE3">
        <w:rPr>
          <w:rFonts w:ascii="Times New Roman" w:hAnsi="Times New Roman" w:cs="Times New Roman"/>
          <w:b/>
          <w:bCs/>
          <w:sz w:val="24"/>
          <w:szCs w:val="24"/>
        </w:rPr>
        <w:t xml:space="preserve">Consiglio di Stato, 10 marzo 2021, n. 2050  </w:t>
      </w:r>
    </w:p>
    <w:p w14:paraId="48286FD3" w14:textId="77777777" w:rsidR="00FF1EE3" w:rsidRPr="00FF1EE3" w:rsidRDefault="00FF1EE3" w:rsidP="00FF1EE3">
      <w:pPr>
        <w:spacing w:after="0"/>
        <w:jc w:val="both"/>
        <w:rPr>
          <w:rFonts w:ascii="Times New Roman" w:hAnsi="Times New Roman" w:cs="Times New Roman"/>
          <w:b/>
          <w:bCs/>
          <w:i/>
          <w:iCs/>
          <w:sz w:val="24"/>
          <w:szCs w:val="24"/>
        </w:rPr>
      </w:pPr>
      <w:r w:rsidRPr="00FF1EE3">
        <w:rPr>
          <w:rFonts w:ascii="Times New Roman" w:hAnsi="Times New Roman" w:cs="Times New Roman"/>
          <w:b/>
          <w:bCs/>
          <w:i/>
          <w:iCs/>
          <w:sz w:val="24"/>
          <w:szCs w:val="24"/>
        </w:rPr>
        <w:t>Sull’accesso agli atti in fase di esecuzione da parte del II° graduato</w:t>
      </w:r>
    </w:p>
    <w:p w14:paraId="5256DD53"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sz w:val="24"/>
          <w:szCs w:val="24"/>
        </w:rPr>
        <w:t xml:space="preserve">Nel caso di specie, </w:t>
      </w:r>
      <w:r w:rsidRPr="00FF1EE3">
        <w:rPr>
          <w:rFonts w:ascii="Times New Roman" w:hAnsi="Times New Roman" w:cs="Times New Roman"/>
          <w:b/>
          <w:bCs/>
          <w:sz w:val="24"/>
          <w:szCs w:val="24"/>
        </w:rPr>
        <w:t>l’impresa seconda graduata, temeva infatti che l’aggiudicatario stesse effettuando delle prestazioni in parte difformi da quelle previste all’interno del Capitolato Speciale d’Appalto</w:t>
      </w:r>
      <w:r w:rsidRPr="00FF1EE3">
        <w:rPr>
          <w:rFonts w:ascii="Times New Roman" w:hAnsi="Times New Roman" w:cs="Times New Roman"/>
          <w:sz w:val="24"/>
          <w:szCs w:val="24"/>
        </w:rPr>
        <w:t>, e per tale motivo richiedeva l’accesso agli atti al fine di poter verificare la regolare esecuzione delle prestazioni oggetto del contratto e dunque accertare un eventuale inadempimento.</w:t>
      </w:r>
    </w:p>
    <w:p w14:paraId="066A9541" w14:textId="24C82BD0" w:rsidR="00FF1EE3" w:rsidRDefault="00FF1EE3" w:rsidP="00FF1EE3">
      <w:pPr>
        <w:spacing w:after="0"/>
        <w:jc w:val="both"/>
        <w:rPr>
          <w:rFonts w:ascii="Times New Roman" w:hAnsi="Times New Roman" w:cs="Times New Roman"/>
          <w:b/>
          <w:bCs/>
          <w:sz w:val="24"/>
          <w:szCs w:val="24"/>
        </w:rPr>
      </w:pPr>
      <w:r w:rsidRPr="00FF1EE3">
        <w:rPr>
          <w:rFonts w:ascii="Times New Roman" w:hAnsi="Times New Roman" w:cs="Times New Roman"/>
          <w:sz w:val="24"/>
          <w:szCs w:val="24"/>
        </w:rPr>
        <w:t xml:space="preserve">Il Collegio </w:t>
      </w:r>
      <w:r w:rsidRPr="00FF1EE3">
        <w:rPr>
          <w:rFonts w:ascii="Times New Roman" w:hAnsi="Times New Roman" w:cs="Times New Roman"/>
          <w:b/>
          <w:bCs/>
          <w:sz w:val="24"/>
          <w:szCs w:val="24"/>
        </w:rPr>
        <w:t>condannava dunque la Committenza</w:t>
      </w:r>
      <w:r w:rsidRPr="00FF1EE3">
        <w:rPr>
          <w:rFonts w:ascii="Times New Roman" w:hAnsi="Times New Roman" w:cs="Times New Roman"/>
          <w:sz w:val="24"/>
          <w:szCs w:val="24"/>
        </w:rPr>
        <w:t xml:space="preserve"> al rilascio della documentazione </w:t>
      </w:r>
      <w:r w:rsidRPr="00FF1EE3">
        <w:rPr>
          <w:rFonts w:ascii="Times New Roman" w:hAnsi="Times New Roman" w:cs="Times New Roman"/>
          <w:b/>
          <w:bCs/>
          <w:sz w:val="24"/>
          <w:szCs w:val="24"/>
        </w:rPr>
        <w:t>in quanto la richiesta di ostensione si basava su un sospetto che, qualora fondato, avrebbe potuto effettivamente costituire causa di risoluzione del rapporto contrattuale e subentro.</w:t>
      </w:r>
      <w:r>
        <w:rPr>
          <w:rFonts w:ascii="Times New Roman" w:hAnsi="Times New Roman" w:cs="Times New Roman"/>
          <w:b/>
          <w:bCs/>
          <w:sz w:val="24"/>
          <w:szCs w:val="24"/>
        </w:rPr>
        <w:t xml:space="preserve"> </w:t>
      </w:r>
    </w:p>
    <w:p w14:paraId="3C1DAA81" w14:textId="7CFF5139" w:rsidR="00FF1EE3" w:rsidRDefault="00FF1EE3" w:rsidP="00FF1EE3">
      <w:pPr>
        <w:spacing w:after="0"/>
        <w:jc w:val="both"/>
        <w:rPr>
          <w:rFonts w:ascii="Times New Roman" w:hAnsi="Times New Roman" w:cs="Times New Roman"/>
          <w:b/>
          <w:bCs/>
          <w:sz w:val="24"/>
          <w:szCs w:val="24"/>
        </w:rPr>
      </w:pPr>
      <w:bookmarkStart w:id="0" w:name="_Hlk190255641"/>
      <w:r>
        <w:rPr>
          <w:rFonts w:ascii="Times New Roman" w:hAnsi="Times New Roman" w:cs="Times New Roman"/>
          <w:b/>
          <w:bCs/>
          <w:sz w:val="24"/>
          <w:szCs w:val="24"/>
        </w:rPr>
        <w:t xml:space="preserve">______________ </w:t>
      </w:r>
    </w:p>
    <w:bookmarkEnd w:id="0"/>
    <w:p w14:paraId="677A60E0" w14:textId="77777777" w:rsidR="00FF1EE3" w:rsidRPr="00FF1EE3" w:rsidRDefault="00FF1EE3" w:rsidP="00FF1EE3">
      <w:pPr>
        <w:spacing w:after="0"/>
        <w:jc w:val="both"/>
        <w:rPr>
          <w:rFonts w:ascii="Times New Roman" w:hAnsi="Times New Roman" w:cs="Times New Roman"/>
          <w:sz w:val="24"/>
          <w:szCs w:val="24"/>
        </w:rPr>
      </w:pPr>
      <w:r w:rsidRPr="00FF1EE3">
        <w:rPr>
          <w:rFonts w:ascii="Times New Roman" w:hAnsi="Times New Roman" w:cs="Times New Roman"/>
          <w:b/>
          <w:bCs/>
          <w:sz w:val="24"/>
          <w:szCs w:val="24"/>
        </w:rPr>
        <w:t>T.A.R. Lazio Roma - Sentenza n. 757 del 24/01/2022</w:t>
      </w:r>
    </w:p>
    <w:p w14:paraId="5CE36417" w14:textId="77777777" w:rsidR="00FF1EE3" w:rsidRPr="00FF1EE3" w:rsidRDefault="00FF1EE3" w:rsidP="00FF1EE3">
      <w:pPr>
        <w:spacing w:after="0" w:line="360" w:lineRule="auto"/>
        <w:jc w:val="both"/>
        <w:rPr>
          <w:rFonts w:ascii="Times New Roman" w:hAnsi="Times New Roman" w:cs="Times New Roman"/>
          <w:i/>
          <w:iCs/>
          <w:sz w:val="24"/>
          <w:szCs w:val="24"/>
        </w:rPr>
      </w:pPr>
      <w:r w:rsidRPr="00FF1EE3">
        <w:rPr>
          <w:rFonts w:ascii="Times New Roman" w:hAnsi="Times New Roman" w:cs="Times New Roman"/>
          <w:b/>
          <w:bCs/>
          <w:i/>
          <w:iCs/>
          <w:sz w:val="24"/>
          <w:szCs w:val="24"/>
        </w:rPr>
        <w:t>Sull’accesso agli atti del subappaltatore</w:t>
      </w:r>
    </w:p>
    <w:p w14:paraId="34164855" w14:textId="1FA9B974" w:rsidR="00BA7B54" w:rsidRDefault="00FF1EE3" w:rsidP="00910DEE">
      <w:pPr>
        <w:spacing w:after="0" w:line="240" w:lineRule="auto"/>
        <w:jc w:val="both"/>
        <w:rPr>
          <w:rFonts w:ascii="Times New Roman" w:hAnsi="Times New Roman" w:cs="Times New Roman"/>
          <w:sz w:val="24"/>
          <w:szCs w:val="24"/>
        </w:rPr>
      </w:pPr>
      <w:r w:rsidRPr="00FF1EE3">
        <w:rPr>
          <w:rFonts w:ascii="Times New Roman" w:hAnsi="Times New Roman" w:cs="Times New Roman"/>
          <w:sz w:val="24"/>
          <w:szCs w:val="24"/>
        </w:rPr>
        <w:t xml:space="preserve">L’impresa che ha ricevuto in appalto alcuni lavori dal contraente generale di un’opera pubblica ex art. 194 </w:t>
      </w:r>
      <w:proofErr w:type="spellStart"/>
      <w:r w:rsidRPr="00FF1EE3">
        <w:rPr>
          <w:rFonts w:ascii="Times New Roman" w:hAnsi="Times New Roman" w:cs="Times New Roman"/>
          <w:sz w:val="24"/>
          <w:szCs w:val="24"/>
        </w:rPr>
        <w:t>D.Lgs.</w:t>
      </w:r>
      <w:proofErr w:type="spellEnd"/>
      <w:r w:rsidRPr="00FF1EE3">
        <w:rPr>
          <w:rFonts w:ascii="Times New Roman" w:hAnsi="Times New Roman" w:cs="Times New Roman"/>
          <w:sz w:val="24"/>
          <w:szCs w:val="24"/>
        </w:rPr>
        <w:t xml:space="preserve"> 50/2016 </w:t>
      </w:r>
      <w:r w:rsidRPr="00FF1EE3">
        <w:rPr>
          <w:rFonts w:ascii="Times New Roman" w:hAnsi="Times New Roman" w:cs="Times New Roman"/>
          <w:b/>
          <w:bCs/>
          <w:sz w:val="24"/>
          <w:szCs w:val="24"/>
        </w:rPr>
        <w:t>ha diritto di accedere ex L. 241/90 agli atti di esecuzione del contratto da questo stipulato con l’Amministrazione</w:t>
      </w:r>
      <w:r w:rsidRPr="00FF1EE3">
        <w:rPr>
          <w:rFonts w:ascii="Times New Roman" w:hAnsi="Times New Roman" w:cs="Times New Roman"/>
          <w:sz w:val="24"/>
          <w:szCs w:val="24"/>
        </w:rPr>
        <w:t xml:space="preserve"> (es</w:t>
      </w:r>
      <w:r w:rsidRPr="00FF1EE3">
        <w:rPr>
          <w:rFonts w:ascii="Times New Roman" w:hAnsi="Times New Roman" w:cs="Times New Roman"/>
          <w:sz w:val="24"/>
          <w:szCs w:val="24"/>
          <w:u w:val="single"/>
        </w:rPr>
        <w:t>. certificazione ultimazione lavori, conto finale, collaudo, ecc</w:t>
      </w:r>
      <w:r w:rsidRPr="00FF1EE3">
        <w:rPr>
          <w:rFonts w:ascii="Times New Roman" w:hAnsi="Times New Roman" w:cs="Times New Roman"/>
          <w:sz w:val="24"/>
          <w:szCs w:val="24"/>
        </w:rPr>
        <w:t xml:space="preserve">.) </w:t>
      </w:r>
      <w:r w:rsidRPr="00FF1EE3">
        <w:rPr>
          <w:rFonts w:ascii="Times New Roman" w:hAnsi="Times New Roman" w:cs="Times New Roman"/>
          <w:b/>
          <w:bCs/>
          <w:sz w:val="24"/>
          <w:szCs w:val="24"/>
        </w:rPr>
        <w:t>al fine di far valere le sue ragioni creditorie nei confronti dello stesso contraente generale suo appaltatore</w:t>
      </w:r>
      <w:r w:rsidRPr="00FF1EE3">
        <w:rPr>
          <w:rFonts w:ascii="Times New Roman" w:hAnsi="Times New Roman" w:cs="Times New Roman"/>
          <w:sz w:val="24"/>
          <w:szCs w:val="24"/>
        </w:rPr>
        <w:t>.</w:t>
      </w:r>
    </w:p>
    <w:p w14:paraId="2AB77B53" w14:textId="77777777" w:rsidR="00910DEE" w:rsidRPr="00910DEE" w:rsidRDefault="00910DEE" w:rsidP="00910DEE">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_</w:t>
      </w:r>
      <w:r w:rsidRPr="00910DEE">
        <w:rPr>
          <w:rFonts w:ascii="Times New Roman" w:hAnsi="Times New Roman" w:cs="Times New Roman"/>
          <w:b/>
          <w:bCs/>
          <w:sz w:val="24"/>
          <w:szCs w:val="24"/>
        </w:rPr>
        <w:t xml:space="preserve">______________ </w:t>
      </w:r>
    </w:p>
    <w:p w14:paraId="1E495297" w14:textId="5C02E4E9" w:rsidR="00910DEE" w:rsidRDefault="00910DEE" w:rsidP="00910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 </w:t>
      </w:r>
    </w:p>
    <w:p w14:paraId="18D35F1F" w14:textId="77777777" w:rsidR="00910DEE" w:rsidRDefault="00910DEE" w:rsidP="00910DEE">
      <w:pPr>
        <w:spacing w:after="0" w:line="240" w:lineRule="auto"/>
        <w:jc w:val="both"/>
        <w:rPr>
          <w:rFonts w:ascii="Times New Roman" w:hAnsi="Times New Roman" w:cs="Times New Roman"/>
          <w:sz w:val="24"/>
          <w:szCs w:val="24"/>
        </w:rPr>
      </w:pPr>
    </w:p>
    <w:p w14:paraId="4B99FCC9" w14:textId="77777777" w:rsidR="00910DEE" w:rsidRPr="00910DEE" w:rsidRDefault="00910DEE" w:rsidP="00910DEE">
      <w:pPr>
        <w:spacing w:after="0" w:line="360" w:lineRule="auto"/>
        <w:jc w:val="both"/>
        <w:rPr>
          <w:rFonts w:ascii="Times New Roman" w:hAnsi="Times New Roman" w:cs="Times New Roman"/>
          <w:sz w:val="24"/>
          <w:szCs w:val="24"/>
        </w:rPr>
      </w:pPr>
      <w:r w:rsidRPr="00910DEE">
        <w:rPr>
          <w:rFonts w:ascii="Times New Roman" w:hAnsi="Times New Roman" w:cs="Times New Roman"/>
          <w:b/>
          <w:bCs/>
          <w:sz w:val="24"/>
          <w:szCs w:val="24"/>
        </w:rPr>
        <w:t>T.A.R. Sicilia Palermo - Sentenza n. 706 del 02/03/2022</w:t>
      </w:r>
    </w:p>
    <w:p w14:paraId="6D839A96" w14:textId="77777777" w:rsidR="00910DEE" w:rsidRPr="00910DEE" w:rsidRDefault="00910DEE" w:rsidP="00910DEE">
      <w:pPr>
        <w:spacing w:after="0" w:line="360" w:lineRule="auto"/>
        <w:jc w:val="both"/>
        <w:rPr>
          <w:rFonts w:ascii="Times New Roman" w:hAnsi="Times New Roman" w:cs="Times New Roman"/>
          <w:b/>
          <w:bCs/>
          <w:i/>
          <w:iCs/>
          <w:sz w:val="24"/>
          <w:szCs w:val="24"/>
        </w:rPr>
      </w:pPr>
      <w:r w:rsidRPr="00910DEE">
        <w:rPr>
          <w:rFonts w:ascii="Times New Roman" w:hAnsi="Times New Roman" w:cs="Times New Roman"/>
          <w:b/>
          <w:bCs/>
          <w:i/>
          <w:iCs/>
          <w:sz w:val="24"/>
          <w:szCs w:val="24"/>
        </w:rPr>
        <w:t>Sull’accesso agli atti nell’ambito del procedimento di risoluzione</w:t>
      </w:r>
    </w:p>
    <w:p w14:paraId="6CCE5816" w14:textId="6DE9111A" w:rsidR="00910DEE" w:rsidRPr="00910DEE" w:rsidRDefault="00910DEE" w:rsidP="00910DEE">
      <w:pPr>
        <w:spacing w:after="0" w:line="360" w:lineRule="auto"/>
        <w:jc w:val="both"/>
        <w:rPr>
          <w:rFonts w:ascii="Times New Roman" w:hAnsi="Times New Roman" w:cs="Times New Roman"/>
          <w:sz w:val="24"/>
          <w:szCs w:val="24"/>
        </w:rPr>
      </w:pPr>
      <w:r w:rsidRPr="00910DEE">
        <w:rPr>
          <w:rFonts w:ascii="Times New Roman" w:hAnsi="Times New Roman" w:cs="Times New Roman"/>
          <w:sz w:val="24"/>
          <w:szCs w:val="24"/>
        </w:rPr>
        <w:t xml:space="preserve">L'esclusione dell'accesso prevista dall'art. 53, comma 5, lett. c) del Codice dei contratti </w:t>
      </w:r>
      <w:r w:rsidRPr="00910DEE">
        <w:rPr>
          <w:rFonts w:ascii="Times New Roman" w:hAnsi="Times New Roman" w:cs="Times New Roman"/>
          <w:b/>
          <w:bCs/>
          <w:sz w:val="24"/>
          <w:szCs w:val="24"/>
        </w:rPr>
        <w:t>non si applica alla "relazione particolareggiata"</w:t>
      </w:r>
      <w:r>
        <w:rPr>
          <w:rFonts w:ascii="Times New Roman" w:hAnsi="Times New Roman" w:cs="Times New Roman"/>
          <w:sz w:val="24"/>
          <w:szCs w:val="24"/>
        </w:rPr>
        <w:t xml:space="preserve"> </w:t>
      </w:r>
      <w:r w:rsidRPr="00910DEE">
        <w:rPr>
          <w:rFonts w:ascii="Times New Roman" w:hAnsi="Times New Roman" w:cs="Times New Roman"/>
          <w:sz w:val="24"/>
          <w:szCs w:val="24"/>
        </w:rPr>
        <w:t>del Direttore dei Lavori ed alla</w:t>
      </w:r>
      <w:r>
        <w:rPr>
          <w:rFonts w:ascii="Times New Roman" w:hAnsi="Times New Roman" w:cs="Times New Roman"/>
          <w:sz w:val="24"/>
          <w:szCs w:val="24"/>
        </w:rPr>
        <w:t xml:space="preserve"> </w:t>
      </w:r>
      <w:r w:rsidRPr="00910DEE">
        <w:rPr>
          <w:rFonts w:ascii="Times New Roman" w:hAnsi="Times New Roman" w:cs="Times New Roman"/>
          <w:sz w:val="24"/>
          <w:szCs w:val="24"/>
        </w:rPr>
        <w:t>“</w:t>
      </w:r>
      <w:r w:rsidRPr="00910DEE">
        <w:rPr>
          <w:rFonts w:ascii="Times New Roman" w:hAnsi="Times New Roman" w:cs="Times New Roman"/>
          <w:b/>
          <w:bCs/>
          <w:sz w:val="24"/>
          <w:szCs w:val="24"/>
        </w:rPr>
        <w:t>relazione-proposta</w:t>
      </w:r>
      <w:r w:rsidRPr="00910DEE">
        <w:rPr>
          <w:rFonts w:ascii="Times New Roman" w:hAnsi="Times New Roman" w:cs="Times New Roman"/>
          <w:sz w:val="24"/>
          <w:szCs w:val="24"/>
        </w:rPr>
        <w:t>”</w:t>
      </w:r>
      <w:r>
        <w:rPr>
          <w:rFonts w:ascii="Times New Roman" w:hAnsi="Times New Roman" w:cs="Times New Roman"/>
          <w:sz w:val="24"/>
          <w:szCs w:val="24"/>
        </w:rPr>
        <w:t xml:space="preserve"> </w:t>
      </w:r>
      <w:r w:rsidRPr="00910DEE">
        <w:rPr>
          <w:rFonts w:ascii="Times New Roman" w:hAnsi="Times New Roman" w:cs="Times New Roman"/>
          <w:sz w:val="24"/>
          <w:szCs w:val="24"/>
        </w:rPr>
        <w:t xml:space="preserve">del R.U.P. redatte </w:t>
      </w:r>
      <w:r w:rsidRPr="00910DEE">
        <w:rPr>
          <w:rFonts w:ascii="Times New Roman" w:hAnsi="Times New Roman" w:cs="Times New Roman"/>
          <w:b/>
          <w:bCs/>
          <w:sz w:val="24"/>
          <w:szCs w:val="24"/>
        </w:rPr>
        <w:t>nell'ambito del procedimento per la risoluzione</w:t>
      </w:r>
      <w:r w:rsidRPr="00910DEE">
        <w:rPr>
          <w:rFonts w:ascii="Times New Roman" w:hAnsi="Times New Roman" w:cs="Times New Roman"/>
          <w:sz w:val="24"/>
          <w:szCs w:val="24"/>
        </w:rPr>
        <w:t xml:space="preserve"> del contratto d'appalto.</w:t>
      </w:r>
    </w:p>
    <w:p w14:paraId="703FAC16" w14:textId="2BD4A549" w:rsidR="00910DEE" w:rsidRDefault="00910DEE" w:rsidP="00910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 </w:t>
      </w:r>
    </w:p>
    <w:p w14:paraId="7BBE3E65" w14:textId="77777777" w:rsidR="00910DEE" w:rsidRDefault="00910DEE" w:rsidP="00910DEE">
      <w:pPr>
        <w:spacing w:after="0" w:line="240" w:lineRule="auto"/>
        <w:jc w:val="both"/>
        <w:rPr>
          <w:rFonts w:ascii="Times New Roman" w:hAnsi="Times New Roman" w:cs="Times New Roman"/>
          <w:sz w:val="24"/>
          <w:szCs w:val="24"/>
        </w:rPr>
      </w:pPr>
    </w:p>
    <w:p w14:paraId="2CF5AD07" w14:textId="77777777" w:rsidR="00031E46" w:rsidRPr="003C72D6" w:rsidRDefault="00031E46" w:rsidP="00031E46">
      <w:pPr>
        <w:spacing w:after="0"/>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SULL’ESCUSSIONE DELLA CAUZIONE</w:t>
      </w:r>
    </w:p>
    <w:p w14:paraId="67FBA65B" w14:textId="77777777" w:rsidR="00031E46" w:rsidRDefault="00031E46" w:rsidP="00031E46">
      <w:pPr>
        <w:spacing w:after="0"/>
        <w:jc w:val="both"/>
        <w:rPr>
          <w:rFonts w:ascii="Times New Roman" w:hAnsi="Times New Roman" w:cs="Times New Roman"/>
          <w:b/>
          <w:bCs/>
          <w:sz w:val="24"/>
          <w:szCs w:val="24"/>
        </w:rPr>
      </w:pPr>
    </w:p>
    <w:p w14:paraId="3C29CF78" w14:textId="77777777" w:rsidR="00031E46" w:rsidRPr="004C4519" w:rsidRDefault="00031E46" w:rsidP="00031E46">
      <w:pPr>
        <w:spacing w:after="0"/>
        <w:jc w:val="both"/>
        <w:rPr>
          <w:rFonts w:ascii="Times New Roman" w:hAnsi="Times New Roman" w:cs="Times New Roman"/>
          <w:b/>
          <w:bCs/>
          <w:sz w:val="24"/>
          <w:szCs w:val="24"/>
        </w:rPr>
      </w:pPr>
      <w:r w:rsidRPr="004C4519">
        <w:rPr>
          <w:rFonts w:ascii="Times New Roman" w:hAnsi="Times New Roman" w:cs="Times New Roman"/>
          <w:b/>
          <w:bCs/>
          <w:sz w:val="24"/>
          <w:szCs w:val="24"/>
        </w:rPr>
        <w:t xml:space="preserve">CONSIGLIO DI STATO, SEZ. III – sentenza 12 gennaio 2024 n. 392 </w:t>
      </w:r>
    </w:p>
    <w:p w14:paraId="2B090357" w14:textId="77777777" w:rsidR="00031E46" w:rsidRPr="004C4519" w:rsidRDefault="00031E46" w:rsidP="00031E46">
      <w:pPr>
        <w:spacing w:after="0"/>
        <w:jc w:val="both"/>
        <w:rPr>
          <w:rFonts w:ascii="Times New Roman" w:hAnsi="Times New Roman" w:cs="Times New Roman"/>
          <w:b/>
          <w:bCs/>
          <w:i/>
          <w:iCs/>
          <w:sz w:val="24"/>
          <w:szCs w:val="24"/>
        </w:rPr>
      </w:pPr>
      <w:r w:rsidRPr="004C4519">
        <w:rPr>
          <w:rFonts w:ascii="Times New Roman" w:hAnsi="Times New Roman" w:cs="Times New Roman"/>
          <w:b/>
          <w:bCs/>
          <w:i/>
          <w:iCs/>
          <w:sz w:val="24"/>
          <w:szCs w:val="24"/>
        </w:rPr>
        <w:t>Sull’inapplicabilità dell’escussione della polizza definitiva al recesso per interdittiva antimafia</w:t>
      </w:r>
    </w:p>
    <w:p w14:paraId="13D1E4CB" w14:textId="77777777" w:rsidR="00031E46" w:rsidRPr="004C4519" w:rsidRDefault="00031E46" w:rsidP="00031E46">
      <w:pPr>
        <w:spacing w:after="0"/>
        <w:jc w:val="both"/>
        <w:rPr>
          <w:rFonts w:ascii="Times New Roman" w:hAnsi="Times New Roman" w:cs="Times New Roman"/>
          <w:sz w:val="24"/>
          <w:szCs w:val="24"/>
        </w:rPr>
      </w:pPr>
      <w:r w:rsidRPr="004C4519">
        <w:rPr>
          <w:rFonts w:ascii="Times New Roman" w:hAnsi="Times New Roman" w:cs="Times New Roman"/>
          <w:sz w:val="24"/>
          <w:szCs w:val="24"/>
        </w:rPr>
        <w:t xml:space="preserve">L’art. 103 del d. lgs. n. 50 del 2016 (v. ora art. 117, d. lgs. n. 36 del 2023) impone che sussistano </w:t>
      </w:r>
      <w:r w:rsidRPr="00B24D36">
        <w:rPr>
          <w:rFonts w:ascii="Times New Roman" w:hAnsi="Times New Roman" w:cs="Times New Roman"/>
          <w:b/>
          <w:bCs/>
          <w:sz w:val="24"/>
          <w:szCs w:val="24"/>
        </w:rPr>
        <w:t>due condizioni</w:t>
      </w:r>
      <w:r w:rsidRPr="004C4519">
        <w:rPr>
          <w:rFonts w:ascii="Times New Roman" w:hAnsi="Times New Roman" w:cs="Times New Roman"/>
          <w:sz w:val="24"/>
          <w:szCs w:val="24"/>
        </w:rPr>
        <w:t xml:space="preserve"> al ricorrere delle quali la stazione appaltante è legittimata a </w:t>
      </w:r>
      <w:r w:rsidRPr="00B24D36">
        <w:rPr>
          <w:rFonts w:ascii="Times New Roman" w:hAnsi="Times New Roman" w:cs="Times New Roman"/>
          <w:b/>
          <w:bCs/>
          <w:sz w:val="24"/>
          <w:szCs w:val="24"/>
        </w:rPr>
        <w:t>riscuotere la cauzione definitiva</w:t>
      </w:r>
      <w:r w:rsidRPr="004C4519">
        <w:rPr>
          <w:rFonts w:ascii="Times New Roman" w:hAnsi="Times New Roman" w:cs="Times New Roman"/>
          <w:sz w:val="24"/>
          <w:szCs w:val="24"/>
        </w:rPr>
        <w:t xml:space="preserve">: che vi sia un </w:t>
      </w:r>
      <w:r w:rsidRPr="00B24D36">
        <w:rPr>
          <w:rFonts w:ascii="Times New Roman" w:hAnsi="Times New Roman" w:cs="Times New Roman"/>
          <w:b/>
          <w:bCs/>
          <w:sz w:val="24"/>
          <w:szCs w:val="24"/>
        </w:rPr>
        <w:t>inadempimento contrattuale</w:t>
      </w:r>
      <w:r w:rsidRPr="004C4519">
        <w:rPr>
          <w:rFonts w:ascii="Times New Roman" w:hAnsi="Times New Roman" w:cs="Times New Roman"/>
          <w:sz w:val="24"/>
          <w:szCs w:val="24"/>
        </w:rPr>
        <w:t xml:space="preserve"> imputabile all’aggiudicatario e che risulti, allo stesso tempo, </w:t>
      </w:r>
      <w:r w:rsidRPr="00B24D36">
        <w:rPr>
          <w:rFonts w:ascii="Times New Roman" w:hAnsi="Times New Roman" w:cs="Times New Roman"/>
          <w:b/>
          <w:bCs/>
          <w:sz w:val="24"/>
          <w:szCs w:val="24"/>
        </w:rPr>
        <w:t>pregiudizievole per l’Amministrazione</w:t>
      </w:r>
      <w:r w:rsidRPr="004C4519">
        <w:rPr>
          <w:rFonts w:ascii="Times New Roman" w:hAnsi="Times New Roman" w:cs="Times New Roman"/>
          <w:sz w:val="24"/>
          <w:szCs w:val="24"/>
        </w:rPr>
        <w:t>. Deve, pertanto, essere esclusa l’escussione della garanzia definitiva in via automatica basata sulla risoluzione per la sopravvenuta interdittiva prefettizia, in modo da attribuire alla stessa una funzione sanzionatoria che risulterebbe estranea all’istituto e tale da configurare l’indebito arricchimento della stazione appaltante.</w:t>
      </w:r>
    </w:p>
    <w:p w14:paraId="7642FE75" w14:textId="77777777" w:rsidR="00031E46" w:rsidRDefault="00031E46" w:rsidP="00031E46">
      <w:pPr>
        <w:pBdr>
          <w:bottom w:val="single" w:sz="12" w:space="1" w:color="auto"/>
        </w:pBdr>
        <w:spacing w:after="0"/>
        <w:jc w:val="both"/>
        <w:rPr>
          <w:rFonts w:ascii="Times New Roman" w:hAnsi="Times New Roman" w:cs="Times New Roman"/>
          <w:sz w:val="24"/>
          <w:szCs w:val="24"/>
        </w:rPr>
      </w:pPr>
      <w:r w:rsidRPr="004C4519">
        <w:rPr>
          <w:rFonts w:ascii="Times New Roman" w:hAnsi="Times New Roman" w:cs="Times New Roman"/>
          <w:sz w:val="24"/>
          <w:szCs w:val="24"/>
        </w:rPr>
        <w:t xml:space="preserve">Più in generale, </w:t>
      </w:r>
      <w:r w:rsidRPr="00B24D36">
        <w:rPr>
          <w:rFonts w:ascii="Times New Roman" w:hAnsi="Times New Roman" w:cs="Times New Roman"/>
          <w:b/>
          <w:bCs/>
          <w:sz w:val="24"/>
          <w:szCs w:val="24"/>
        </w:rPr>
        <w:t>l’interdittiva antimafia è una misura priva di portata sanzionatoria che prescinde da qualsivoglia colpevolezza dell’impresa colpita, trovando giustificazione in fondamentali esigenze di contrasto preventivo della criminalità organizzata</w:t>
      </w:r>
      <w:r w:rsidRPr="004C4519">
        <w:rPr>
          <w:rFonts w:ascii="Times New Roman" w:hAnsi="Times New Roman" w:cs="Times New Roman"/>
          <w:sz w:val="24"/>
          <w:szCs w:val="24"/>
        </w:rPr>
        <w:t>. Tale impostazione, che peraltro assicura la compatibilità dell’eccezionale strumento interdittivo con principi fondamentali dell’ordinamento giuridico, finirebbe per essere sostanzialmente disattesa laddove si equiparasse automaticamente, ai fini della disciplina sulla cauzione definitiva, il caso dell’inadempimento colpevole dell’appaltatore e quello dell’impossibilità di eseguire la prestazione per il sopraggiungere di un’interdittiva antimafia. In questo modo, infatti, si finirebbe per attribuire alla stessa quella base di colpevolezza che fonda la disciplina sull’inadempimento delle obbligazioni e che dovrebbe, invece, rimanere estranea, per evidenti ragioni di coerenza sistematica, rispetto a una fattispecie che non ha natura sanzionatoria perché non colpisce un illecito (quale, invece, è l’inadempimento delle obbligazioni in senso civilistico), configurandosi quale misura preventiva di contrasto della criminalità organizzat</w:t>
      </w:r>
      <w:r>
        <w:rPr>
          <w:rFonts w:ascii="Times New Roman" w:hAnsi="Times New Roman" w:cs="Times New Roman"/>
          <w:sz w:val="24"/>
          <w:szCs w:val="24"/>
        </w:rPr>
        <w:t>a</w:t>
      </w:r>
    </w:p>
    <w:p w14:paraId="0328CFFC" w14:textId="77777777" w:rsidR="00031E46" w:rsidRDefault="00031E46" w:rsidP="00031E46">
      <w:pPr>
        <w:spacing w:after="0"/>
        <w:jc w:val="both"/>
        <w:rPr>
          <w:rFonts w:ascii="Times New Roman" w:hAnsi="Times New Roman" w:cs="Times New Roman"/>
          <w:sz w:val="24"/>
          <w:szCs w:val="24"/>
        </w:rPr>
      </w:pPr>
    </w:p>
    <w:p w14:paraId="4FBFA53A" w14:textId="77777777" w:rsidR="00031E46" w:rsidRPr="002F2674" w:rsidRDefault="00031E46" w:rsidP="00031E46">
      <w:pPr>
        <w:spacing w:after="0"/>
        <w:jc w:val="both"/>
        <w:rPr>
          <w:rFonts w:ascii="Times New Roman" w:hAnsi="Times New Roman" w:cs="Times New Roman"/>
          <w:b/>
          <w:bCs/>
          <w:sz w:val="24"/>
          <w:szCs w:val="24"/>
        </w:rPr>
      </w:pPr>
      <w:r w:rsidRPr="002F2674">
        <w:rPr>
          <w:rFonts w:ascii="Times New Roman" w:hAnsi="Times New Roman" w:cs="Times New Roman"/>
          <w:b/>
          <w:bCs/>
          <w:sz w:val="24"/>
          <w:szCs w:val="24"/>
        </w:rPr>
        <w:t>Tar Lombardia, Brescia, Sez. II, 20.01.2025, n. 34</w:t>
      </w:r>
    </w:p>
    <w:p w14:paraId="06328222" w14:textId="77777777" w:rsidR="00031E46" w:rsidRPr="002F2674" w:rsidRDefault="00031E46" w:rsidP="00031E46">
      <w:pPr>
        <w:spacing w:after="0"/>
        <w:jc w:val="both"/>
        <w:rPr>
          <w:rFonts w:ascii="Times New Roman" w:hAnsi="Times New Roman" w:cs="Times New Roman"/>
          <w:b/>
          <w:bCs/>
          <w:i/>
          <w:iCs/>
          <w:sz w:val="24"/>
          <w:szCs w:val="24"/>
        </w:rPr>
      </w:pPr>
      <w:r w:rsidRPr="002F2674">
        <w:rPr>
          <w:rFonts w:ascii="Times New Roman" w:hAnsi="Times New Roman" w:cs="Times New Roman"/>
          <w:b/>
          <w:bCs/>
          <w:i/>
          <w:iCs/>
          <w:sz w:val="24"/>
          <w:szCs w:val="24"/>
        </w:rPr>
        <w:t>Sull</w:t>
      </w:r>
      <w:r>
        <w:rPr>
          <w:rFonts w:ascii="Times New Roman" w:hAnsi="Times New Roman" w:cs="Times New Roman"/>
          <w:b/>
          <w:bCs/>
          <w:i/>
          <w:iCs/>
          <w:sz w:val="24"/>
          <w:szCs w:val="24"/>
        </w:rPr>
        <w:t xml:space="preserve">’incameramento </w:t>
      </w:r>
      <w:r w:rsidRPr="002F2674">
        <w:rPr>
          <w:rFonts w:ascii="Times New Roman" w:hAnsi="Times New Roman" w:cs="Times New Roman"/>
          <w:b/>
          <w:bCs/>
          <w:i/>
          <w:iCs/>
          <w:sz w:val="24"/>
          <w:szCs w:val="24"/>
        </w:rPr>
        <w:t>dell’escussione della polizza, in caso di esclusione del concorrente successivamente alla proposta di aggiudicazione.</w:t>
      </w:r>
    </w:p>
    <w:p w14:paraId="5AB71796" w14:textId="77777777" w:rsidR="00031E46" w:rsidRPr="002F2674" w:rsidRDefault="00031E46" w:rsidP="00031E46">
      <w:pPr>
        <w:spacing w:after="0"/>
        <w:jc w:val="both"/>
        <w:rPr>
          <w:rFonts w:ascii="Times New Roman" w:hAnsi="Times New Roman" w:cs="Times New Roman"/>
          <w:sz w:val="24"/>
          <w:szCs w:val="24"/>
        </w:rPr>
      </w:pPr>
      <w:r w:rsidRPr="002F2674">
        <w:rPr>
          <w:rFonts w:ascii="Times New Roman" w:hAnsi="Times New Roman" w:cs="Times New Roman"/>
          <w:sz w:val="24"/>
          <w:szCs w:val="24"/>
        </w:rPr>
        <w:t>L’escussione della cauzione provvisoria, dell’importo di € 846,67 (ottocento/67) è stata disposta doverosamente dall’amministrazione ai sensi dell’art. 106 comma 5 Codice Appalti., in forza del quale “</w:t>
      </w:r>
      <w:r w:rsidRPr="002F2674">
        <w:rPr>
          <w:rFonts w:ascii="Times New Roman" w:hAnsi="Times New Roman" w:cs="Times New Roman"/>
          <w:b/>
          <w:bCs/>
          <w:i/>
          <w:iCs/>
          <w:sz w:val="24"/>
          <w:szCs w:val="24"/>
        </w:rPr>
        <w:t>La garanzia copre la mancata aggiudicazione dopo la proposta di aggiudicazione e la mancata sottoscrizione del contratto imputabili a ogni fatto riconducibile all’affidatario o conseguenti all’adozione di informazione antimafia interdittiva</w:t>
      </w:r>
      <w:proofErr w:type="gramStart"/>
      <w:r>
        <w:rPr>
          <w:rFonts w:ascii="Times New Roman" w:hAnsi="Times New Roman" w:cs="Times New Roman"/>
          <w:b/>
          <w:bCs/>
          <w:i/>
          <w:iCs/>
          <w:sz w:val="24"/>
          <w:szCs w:val="24"/>
        </w:rPr>
        <w:t xml:space="preserve"> ..</w:t>
      </w:r>
      <w:proofErr w:type="gramEnd"/>
      <w:r>
        <w:rPr>
          <w:rFonts w:ascii="Times New Roman" w:hAnsi="Times New Roman" w:cs="Times New Roman"/>
          <w:b/>
          <w:bCs/>
          <w:i/>
          <w:iCs/>
          <w:sz w:val="24"/>
          <w:szCs w:val="24"/>
        </w:rPr>
        <w:t>”</w:t>
      </w:r>
    </w:p>
    <w:p w14:paraId="3D10A90A" w14:textId="77777777" w:rsidR="00031E46" w:rsidRPr="002F2674" w:rsidRDefault="00031E46" w:rsidP="00031E46">
      <w:pPr>
        <w:spacing w:after="0"/>
        <w:jc w:val="both"/>
        <w:rPr>
          <w:rFonts w:ascii="Times New Roman" w:hAnsi="Times New Roman" w:cs="Times New Roman"/>
          <w:sz w:val="24"/>
          <w:szCs w:val="24"/>
        </w:rPr>
      </w:pPr>
      <w:r w:rsidRPr="002F2674">
        <w:rPr>
          <w:rFonts w:ascii="Times New Roman" w:hAnsi="Times New Roman" w:cs="Times New Roman"/>
          <w:sz w:val="24"/>
          <w:szCs w:val="24"/>
        </w:rPr>
        <w:t xml:space="preserve">Nel caso di specie, </w:t>
      </w:r>
      <w:r w:rsidRPr="002F2674">
        <w:rPr>
          <w:rFonts w:ascii="Times New Roman" w:hAnsi="Times New Roman" w:cs="Times New Roman"/>
          <w:b/>
          <w:bCs/>
          <w:sz w:val="24"/>
          <w:szCs w:val="24"/>
        </w:rPr>
        <w:t>l’esclusione è stata disposta dopo che il RUP aveva proposto l’aggiudicazione</w:t>
      </w:r>
      <w:r w:rsidRPr="002F2674">
        <w:rPr>
          <w:rFonts w:ascii="Times New Roman" w:hAnsi="Times New Roman" w:cs="Times New Roman"/>
          <w:sz w:val="24"/>
          <w:szCs w:val="24"/>
        </w:rPr>
        <w:t xml:space="preserve"> in favore della ricorrente </w:t>
      </w:r>
      <w:r w:rsidRPr="002F2674">
        <w:rPr>
          <w:rFonts w:ascii="Times New Roman" w:hAnsi="Times New Roman" w:cs="Times New Roman"/>
          <w:b/>
          <w:bCs/>
          <w:sz w:val="24"/>
          <w:szCs w:val="24"/>
        </w:rPr>
        <w:t>e per un fatto imputabile a quest’ultima</w:t>
      </w:r>
      <w:r w:rsidRPr="002F2674">
        <w:rPr>
          <w:rFonts w:ascii="Times New Roman" w:hAnsi="Times New Roman" w:cs="Times New Roman"/>
          <w:sz w:val="24"/>
          <w:szCs w:val="24"/>
        </w:rPr>
        <w:t xml:space="preserve"> (</w:t>
      </w:r>
      <w:r w:rsidRPr="002F2674">
        <w:rPr>
          <w:rFonts w:ascii="Times New Roman" w:hAnsi="Times New Roman" w:cs="Times New Roman"/>
          <w:sz w:val="24"/>
          <w:szCs w:val="24"/>
          <w:u w:val="single"/>
        </w:rPr>
        <w:t>l’omessa dichiarazione delle due risoluzioni contrattuali</w:t>
      </w:r>
      <w:r w:rsidRPr="002F2674">
        <w:rPr>
          <w:rFonts w:ascii="Times New Roman" w:hAnsi="Times New Roman" w:cs="Times New Roman"/>
          <w:sz w:val="24"/>
          <w:szCs w:val="24"/>
        </w:rPr>
        <w:t>).</w:t>
      </w:r>
    </w:p>
    <w:p w14:paraId="4331AC6A" w14:textId="77777777" w:rsidR="00031E46" w:rsidRDefault="00031E46" w:rsidP="00031E46">
      <w:pPr>
        <w:spacing w:after="0"/>
        <w:jc w:val="both"/>
        <w:rPr>
          <w:rFonts w:ascii="Times New Roman" w:hAnsi="Times New Roman" w:cs="Times New Roman"/>
          <w:sz w:val="24"/>
          <w:szCs w:val="24"/>
        </w:rPr>
      </w:pPr>
      <w:r w:rsidRPr="002F2674">
        <w:rPr>
          <w:rFonts w:ascii="Times New Roman" w:hAnsi="Times New Roman" w:cs="Times New Roman"/>
          <w:sz w:val="24"/>
          <w:szCs w:val="24"/>
        </w:rPr>
        <w:t>La norma, con il suo riferimento alla imputabilità del fatto, presuppone la sussistenza di un comportamento doloso o gravemente colposo del concorrente, nel caso di specie obbiettivamente sussistente alla luce di quanto sopra esposto.</w:t>
      </w:r>
      <w:r>
        <w:rPr>
          <w:rFonts w:ascii="Times New Roman" w:hAnsi="Times New Roman" w:cs="Times New Roman"/>
          <w:sz w:val="24"/>
          <w:szCs w:val="24"/>
        </w:rPr>
        <w:t xml:space="preserve"> </w:t>
      </w:r>
    </w:p>
    <w:p w14:paraId="63B038CB" w14:textId="77777777" w:rsidR="00031E46" w:rsidRDefault="00031E46" w:rsidP="00031E46">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  </w:t>
      </w:r>
    </w:p>
    <w:p w14:paraId="7A7FBF3A" w14:textId="77777777" w:rsidR="00031E46" w:rsidRDefault="00031E46" w:rsidP="00031E46">
      <w:pPr>
        <w:spacing w:after="0"/>
        <w:jc w:val="both"/>
        <w:rPr>
          <w:rFonts w:ascii="Times New Roman" w:hAnsi="Times New Roman" w:cs="Times New Roman"/>
          <w:sz w:val="24"/>
          <w:szCs w:val="24"/>
        </w:rPr>
      </w:pPr>
    </w:p>
    <w:p w14:paraId="11D7FB1A" w14:textId="77777777" w:rsidR="00031E46" w:rsidRDefault="00031E46" w:rsidP="00031E46">
      <w:pPr>
        <w:spacing w:after="0"/>
        <w:jc w:val="both"/>
        <w:rPr>
          <w:rFonts w:ascii="Times New Roman" w:hAnsi="Times New Roman" w:cs="Times New Roman"/>
          <w:b/>
          <w:bCs/>
          <w:sz w:val="24"/>
          <w:szCs w:val="24"/>
        </w:rPr>
      </w:pPr>
      <w:r w:rsidRPr="00433939">
        <w:rPr>
          <w:rFonts w:ascii="Times New Roman" w:hAnsi="Times New Roman" w:cs="Times New Roman"/>
          <w:b/>
          <w:bCs/>
          <w:sz w:val="24"/>
          <w:szCs w:val="24"/>
        </w:rPr>
        <w:t>TAR LAZIO – ROMA, SEZ. IV TER – sentenza 3 febbraio 2025 n. 2329</w:t>
      </w:r>
    </w:p>
    <w:p w14:paraId="25C8BEA2" w14:textId="77777777" w:rsidR="00031E46" w:rsidRPr="00433939" w:rsidRDefault="00031E46" w:rsidP="00031E46">
      <w:pPr>
        <w:spacing w:after="0"/>
        <w:jc w:val="both"/>
        <w:rPr>
          <w:rFonts w:ascii="Times New Roman" w:hAnsi="Times New Roman" w:cs="Times New Roman"/>
          <w:i/>
          <w:iCs/>
          <w:sz w:val="24"/>
          <w:szCs w:val="24"/>
        </w:rPr>
      </w:pPr>
      <w:r w:rsidRPr="00433939">
        <w:rPr>
          <w:rFonts w:ascii="Times New Roman" w:hAnsi="Times New Roman" w:cs="Times New Roman"/>
          <w:b/>
          <w:bCs/>
          <w:i/>
          <w:iCs/>
          <w:sz w:val="24"/>
          <w:szCs w:val="24"/>
        </w:rPr>
        <w:t xml:space="preserve">Sull’incameramento della cauzione provvisoria in caso di esclusione successivamente alla proposta di aggiudicazione </w:t>
      </w:r>
    </w:p>
    <w:p w14:paraId="21460A72" w14:textId="77777777" w:rsidR="00031E46" w:rsidRDefault="00031E46" w:rsidP="00031E46">
      <w:pPr>
        <w:spacing w:after="0"/>
        <w:jc w:val="both"/>
        <w:rPr>
          <w:rFonts w:ascii="Times New Roman" w:hAnsi="Times New Roman" w:cs="Times New Roman"/>
          <w:sz w:val="24"/>
          <w:szCs w:val="24"/>
        </w:rPr>
      </w:pPr>
      <w:r w:rsidRPr="00433939">
        <w:rPr>
          <w:rFonts w:ascii="Times New Roman" w:hAnsi="Times New Roman" w:cs="Times New Roman"/>
          <w:b/>
          <w:bCs/>
          <w:sz w:val="24"/>
          <w:szCs w:val="24"/>
        </w:rPr>
        <w:t>Il trattenimento automatico della garanzia fideiussoria</w:t>
      </w:r>
      <w:r w:rsidRPr="00433939">
        <w:rPr>
          <w:rFonts w:ascii="Times New Roman" w:hAnsi="Times New Roman" w:cs="Times New Roman"/>
          <w:sz w:val="24"/>
          <w:szCs w:val="24"/>
        </w:rPr>
        <w:t xml:space="preserve"> prestata dall’operatore economico partecipante ad una gara pubblica, </w:t>
      </w:r>
      <w:r w:rsidRPr="00433939">
        <w:rPr>
          <w:rFonts w:ascii="Times New Roman" w:hAnsi="Times New Roman" w:cs="Times New Roman"/>
          <w:b/>
          <w:bCs/>
          <w:sz w:val="24"/>
          <w:szCs w:val="24"/>
        </w:rPr>
        <w:t xml:space="preserve">è conseguenza ed effetto legale del provvedimento di esclusione </w:t>
      </w:r>
      <w:r w:rsidRPr="00433939">
        <w:rPr>
          <w:rFonts w:ascii="Times New Roman" w:hAnsi="Times New Roman" w:cs="Times New Roman"/>
          <w:b/>
          <w:bCs/>
          <w:sz w:val="24"/>
          <w:szCs w:val="24"/>
        </w:rPr>
        <w:lastRenderedPageBreak/>
        <w:t>dalla gara stessa e non necessita</w:t>
      </w:r>
      <w:r w:rsidRPr="00433939">
        <w:rPr>
          <w:rFonts w:ascii="Times New Roman" w:hAnsi="Times New Roman" w:cs="Times New Roman"/>
          <w:sz w:val="24"/>
          <w:szCs w:val="24"/>
        </w:rPr>
        <w:t xml:space="preserve">, pertanto, </w:t>
      </w:r>
      <w:r w:rsidRPr="00433939">
        <w:rPr>
          <w:rFonts w:ascii="Times New Roman" w:hAnsi="Times New Roman" w:cs="Times New Roman"/>
          <w:b/>
          <w:bCs/>
          <w:sz w:val="24"/>
          <w:szCs w:val="24"/>
        </w:rPr>
        <w:t>di motivazione</w:t>
      </w:r>
      <w:r w:rsidRPr="00433939">
        <w:rPr>
          <w:rFonts w:ascii="Times New Roman" w:hAnsi="Times New Roman" w:cs="Times New Roman"/>
          <w:sz w:val="24"/>
          <w:szCs w:val="24"/>
        </w:rPr>
        <w:t xml:space="preserve">, venendo in rilievo un’attività vincolata dell’Amministrazione. </w:t>
      </w:r>
      <w:r w:rsidRPr="00433939">
        <w:rPr>
          <w:rFonts w:ascii="Times New Roman" w:hAnsi="Times New Roman" w:cs="Times New Roman"/>
          <w:sz w:val="24"/>
          <w:szCs w:val="24"/>
          <w:u w:val="single"/>
        </w:rPr>
        <w:t xml:space="preserve">Il comma 6 dell’art. 106, d.lgs. n. 36 del 2023, stabilisce che «la garanzia copre la mancata aggiudicazione </w:t>
      </w:r>
      <w:r w:rsidRPr="00433939">
        <w:rPr>
          <w:rFonts w:ascii="Times New Roman" w:hAnsi="Times New Roman" w:cs="Times New Roman"/>
          <w:b/>
          <w:bCs/>
          <w:sz w:val="24"/>
          <w:szCs w:val="24"/>
          <w:u w:val="single"/>
        </w:rPr>
        <w:t>dopo la proposta di aggiudicazione</w:t>
      </w:r>
      <w:r w:rsidRPr="00433939">
        <w:rPr>
          <w:rFonts w:ascii="Times New Roman" w:hAnsi="Times New Roman" w:cs="Times New Roman"/>
          <w:sz w:val="24"/>
          <w:szCs w:val="24"/>
          <w:u w:val="single"/>
        </w:rPr>
        <w:t xml:space="preserve"> e la mancata sottoscrizione del contratto imputabili a ogni fatto riconducibile all’affidatario».</w:t>
      </w:r>
      <w:r w:rsidRPr="00433939">
        <w:rPr>
          <w:rFonts w:ascii="Times New Roman" w:hAnsi="Times New Roman" w:cs="Times New Roman"/>
          <w:sz w:val="24"/>
          <w:szCs w:val="24"/>
        </w:rPr>
        <w:t xml:space="preserve"> Si tratta di una disposizione in parte innovativa rispetto alla disciplina contenuta </w:t>
      </w:r>
      <w:r w:rsidRPr="00433939">
        <w:rPr>
          <w:rFonts w:ascii="Times New Roman" w:hAnsi="Times New Roman" w:cs="Times New Roman"/>
          <w:sz w:val="24"/>
          <w:szCs w:val="24"/>
          <w:u w:val="single"/>
        </w:rPr>
        <w:t xml:space="preserve">nell’art. 93, co. 6, d.lgs. 50/2016, che delimitava l’ambito di operatività della garanzia al solo momento </w:t>
      </w:r>
      <w:r w:rsidRPr="00433939">
        <w:rPr>
          <w:rFonts w:ascii="Times New Roman" w:hAnsi="Times New Roman" w:cs="Times New Roman"/>
          <w:b/>
          <w:bCs/>
          <w:sz w:val="24"/>
          <w:szCs w:val="24"/>
          <w:u w:val="single"/>
        </w:rPr>
        <w:t>successivo all’aggiudicazione</w:t>
      </w:r>
      <w:r w:rsidRPr="00433939">
        <w:rPr>
          <w:rFonts w:ascii="Times New Roman" w:hAnsi="Times New Roman" w:cs="Times New Roman"/>
          <w:sz w:val="24"/>
          <w:szCs w:val="24"/>
        </w:rPr>
        <w:t>. La garanzia in esame persegue essenzialmente due finalità: quella di garantire il rispetto delle regole di gara e la serietà dell’offerta presentata (come sottolineato anche dalla Corte costituzionale nella sentenza n. 198 del 2022) e quella di liquidare in via anticipata e forfettaria il danno subito dall’amministrazione aggiudicatrice per qualunque fatto riconducibile all’impresa, che abbia impedito la stipula del contratto.</w:t>
      </w:r>
      <w:r>
        <w:rPr>
          <w:rFonts w:ascii="Times New Roman" w:hAnsi="Times New Roman" w:cs="Times New Roman"/>
          <w:sz w:val="24"/>
          <w:szCs w:val="24"/>
        </w:rPr>
        <w:t xml:space="preserve"> </w:t>
      </w:r>
    </w:p>
    <w:p w14:paraId="170B76BB" w14:textId="77777777" w:rsidR="00031E46" w:rsidRDefault="00031E46" w:rsidP="00031E46">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w:t>
      </w:r>
    </w:p>
    <w:p w14:paraId="6775CAE5" w14:textId="77777777" w:rsidR="00031E46" w:rsidRPr="009F221E" w:rsidRDefault="00031E46" w:rsidP="009F221E">
      <w:pPr>
        <w:jc w:val="both"/>
        <w:rPr>
          <w:rFonts w:ascii="Times New Roman" w:hAnsi="Times New Roman" w:cs="Times New Roman"/>
          <w:sz w:val="24"/>
          <w:szCs w:val="24"/>
        </w:rPr>
      </w:pPr>
    </w:p>
    <w:p w14:paraId="563F3B22" w14:textId="77777777" w:rsidR="00656217" w:rsidRDefault="00031E46" w:rsidP="00031E46">
      <w:pPr>
        <w:spacing w:after="0"/>
        <w:jc w:val="center"/>
        <w:rPr>
          <w:rFonts w:ascii="Times New Roman" w:hAnsi="Times New Roman" w:cs="Times New Roman"/>
          <w:b/>
          <w:bCs/>
          <w:sz w:val="28"/>
          <w:szCs w:val="28"/>
          <w:highlight w:val="yellow"/>
        </w:rPr>
      </w:pPr>
      <w:r w:rsidRPr="00656217">
        <w:rPr>
          <w:rFonts w:ascii="Times New Roman" w:hAnsi="Times New Roman" w:cs="Times New Roman"/>
          <w:b/>
          <w:bCs/>
          <w:sz w:val="28"/>
          <w:szCs w:val="28"/>
          <w:highlight w:val="yellow"/>
        </w:rPr>
        <w:t xml:space="preserve">AFFIDAMENTI DIRETTI E NEGOZIATE </w:t>
      </w:r>
    </w:p>
    <w:p w14:paraId="7F1711E2" w14:textId="52CC5CC5" w:rsidR="00031E46" w:rsidRPr="000768F0" w:rsidRDefault="00031E46" w:rsidP="00031E46">
      <w:pPr>
        <w:spacing w:after="0"/>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 PRINCIPIO ROATAZIONE</w:t>
      </w:r>
      <w:r w:rsidRPr="000768F0">
        <w:rPr>
          <w:rFonts w:ascii="Times New Roman" w:hAnsi="Times New Roman" w:cs="Times New Roman"/>
          <w:b/>
          <w:bCs/>
          <w:sz w:val="28"/>
          <w:szCs w:val="28"/>
        </w:rPr>
        <w:t xml:space="preserve"> </w:t>
      </w:r>
      <w:r w:rsidR="00656217">
        <w:rPr>
          <w:rFonts w:ascii="Times New Roman" w:hAnsi="Times New Roman" w:cs="Times New Roman"/>
          <w:b/>
          <w:bCs/>
          <w:sz w:val="28"/>
          <w:szCs w:val="28"/>
        </w:rPr>
        <w:t>-</w:t>
      </w:r>
    </w:p>
    <w:p w14:paraId="33161678" w14:textId="77777777" w:rsidR="00031E46" w:rsidRDefault="00031E46" w:rsidP="00031E46">
      <w:pPr>
        <w:spacing w:after="0"/>
        <w:jc w:val="both"/>
        <w:rPr>
          <w:rFonts w:ascii="Times New Roman" w:hAnsi="Times New Roman" w:cs="Times New Roman"/>
          <w:b/>
          <w:bCs/>
          <w:sz w:val="24"/>
          <w:szCs w:val="24"/>
        </w:rPr>
      </w:pPr>
    </w:p>
    <w:p w14:paraId="7168CDBC" w14:textId="77777777" w:rsidR="00031E46" w:rsidRDefault="00031E46" w:rsidP="00031E46">
      <w:pPr>
        <w:spacing w:after="0"/>
        <w:jc w:val="both"/>
        <w:rPr>
          <w:rFonts w:ascii="Times New Roman" w:hAnsi="Times New Roman" w:cs="Times New Roman"/>
          <w:b/>
          <w:bCs/>
          <w:sz w:val="24"/>
          <w:szCs w:val="24"/>
        </w:rPr>
      </w:pPr>
      <w:r>
        <w:rPr>
          <w:rFonts w:ascii="Times New Roman" w:hAnsi="Times New Roman" w:cs="Times New Roman"/>
          <w:b/>
          <w:bCs/>
          <w:sz w:val="24"/>
          <w:szCs w:val="24"/>
        </w:rPr>
        <w:t>Tar Puglia, Lecce, Sez. II, 29.01.2025, n. 138</w:t>
      </w:r>
    </w:p>
    <w:p w14:paraId="5CA9A4D3" w14:textId="77777777" w:rsidR="00031E46" w:rsidRPr="000768F0" w:rsidRDefault="00031E46" w:rsidP="00031E46">
      <w:pPr>
        <w:spacing w:after="0"/>
        <w:jc w:val="both"/>
        <w:rPr>
          <w:rFonts w:ascii="Times New Roman" w:hAnsi="Times New Roman" w:cs="Times New Roman"/>
          <w:b/>
          <w:bCs/>
          <w:i/>
          <w:iCs/>
          <w:sz w:val="24"/>
          <w:szCs w:val="24"/>
        </w:rPr>
      </w:pPr>
      <w:r w:rsidRPr="000768F0">
        <w:rPr>
          <w:rFonts w:ascii="Times New Roman" w:hAnsi="Times New Roman" w:cs="Times New Roman"/>
          <w:b/>
          <w:bCs/>
          <w:i/>
          <w:iCs/>
          <w:sz w:val="24"/>
          <w:szCs w:val="24"/>
        </w:rPr>
        <w:t>Sull’inapplicabilità del</w:t>
      </w:r>
      <w:r>
        <w:rPr>
          <w:rFonts w:ascii="Times New Roman" w:hAnsi="Times New Roman" w:cs="Times New Roman"/>
          <w:b/>
          <w:bCs/>
          <w:i/>
          <w:iCs/>
          <w:sz w:val="24"/>
          <w:szCs w:val="24"/>
        </w:rPr>
        <w:t xml:space="preserve">la deroga al </w:t>
      </w:r>
      <w:r w:rsidRPr="000768F0">
        <w:rPr>
          <w:rFonts w:ascii="Times New Roman" w:hAnsi="Times New Roman" w:cs="Times New Roman"/>
          <w:b/>
          <w:bCs/>
          <w:i/>
          <w:iCs/>
          <w:sz w:val="24"/>
          <w:szCs w:val="24"/>
        </w:rPr>
        <w:t>principio di rotazione, in caso di affidamento diretto preced</w:t>
      </w:r>
      <w:r>
        <w:rPr>
          <w:rFonts w:ascii="Times New Roman" w:hAnsi="Times New Roman" w:cs="Times New Roman"/>
          <w:b/>
          <w:bCs/>
          <w:i/>
          <w:iCs/>
          <w:sz w:val="24"/>
          <w:szCs w:val="24"/>
        </w:rPr>
        <w:t>u</w:t>
      </w:r>
      <w:r w:rsidRPr="000768F0">
        <w:rPr>
          <w:rFonts w:ascii="Times New Roman" w:hAnsi="Times New Roman" w:cs="Times New Roman"/>
          <w:b/>
          <w:bCs/>
          <w:i/>
          <w:iCs/>
          <w:sz w:val="24"/>
          <w:szCs w:val="24"/>
        </w:rPr>
        <w:t>to da indagine di mercato</w:t>
      </w:r>
    </w:p>
    <w:p w14:paraId="7325127C" w14:textId="77777777" w:rsidR="00031E46" w:rsidRPr="000768F0" w:rsidRDefault="00031E46" w:rsidP="00031E46">
      <w:pPr>
        <w:spacing w:after="0"/>
        <w:jc w:val="both"/>
        <w:rPr>
          <w:rFonts w:ascii="Times New Roman" w:hAnsi="Times New Roman" w:cs="Times New Roman"/>
          <w:b/>
          <w:bCs/>
          <w:sz w:val="24"/>
          <w:szCs w:val="24"/>
        </w:rPr>
      </w:pPr>
      <w:r>
        <w:rPr>
          <w:rFonts w:ascii="Times New Roman" w:hAnsi="Times New Roman" w:cs="Times New Roman"/>
          <w:sz w:val="24"/>
          <w:szCs w:val="24"/>
        </w:rPr>
        <w:t>R</w:t>
      </w:r>
      <w:r w:rsidRPr="000768F0">
        <w:rPr>
          <w:rFonts w:ascii="Times New Roman" w:hAnsi="Times New Roman" w:cs="Times New Roman"/>
          <w:sz w:val="24"/>
          <w:szCs w:val="24"/>
        </w:rPr>
        <w:t xml:space="preserve">isulta dimostrato </w:t>
      </w:r>
      <w:r w:rsidRPr="000768F0">
        <w:rPr>
          <w:rFonts w:ascii="Times New Roman" w:hAnsi="Times New Roman" w:cs="Times New Roman"/>
          <w:i/>
          <w:iCs/>
          <w:sz w:val="24"/>
          <w:szCs w:val="24"/>
        </w:rPr>
        <w:t xml:space="preserve">per </w:t>
      </w:r>
      <w:proofErr w:type="spellStart"/>
      <w:r w:rsidRPr="000768F0">
        <w:rPr>
          <w:rFonts w:ascii="Times New Roman" w:hAnsi="Times New Roman" w:cs="Times New Roman"/>
          <w:i/>
          <w:iCs/>
          <w:sz w:val="24"/>
          <w:szCs w:val="24"/>
        </w:rPr>
        <w:t>tabulas</w:t>
      </w:r>
      <w:proofErr w:type="spellEnd"/>
      <w:r w:rsidRPr="000768F0">
        <w:rPr>
          <w:rFonts w:ascii="Times New Roman" w:hAnsi="Times New Roman" w:cs="Times New Roman"/>
          <w:sz w:val="24"/>
          <w:szCs w:val="24"/>
        </w:rPr>
        <w:t xml:space="preserve"> che la Clinica Veterinaria San Raphael ha espletato a favore del Comune resistente i medesimi servizi oggetto della procedura in argomento, senza soluzione di continuità dal 2022 fino a tutto il mese di novembre 2024, </w:t>
      </w:r>
      <w:r w:rsidRPr="000768F0">
        <w:rPr>
          <w:rFonts w:ascii="Times New Roman" w:hAnsi="Times New Roman" w:cs="Times New Roman"/>
          <w:b/>
          <w:bCs/>
          <w:sz w:val="24"/>
          <w:szCs w:val="24"/>
        </w:rPr>
        <w:t>mediante affidamenti diretti e determine di integrazione dell’impegno di spesa;</w:t>
      </w:r>
    </w:p>
    <w:p w14:paraId="70430519" w14:textId="77777777" w:rsidR="00031E46" w:rsidRPr="000768F0" w:rsidRDefault="00031E46" w:rsidP="00031E46">
      <w:pPr>
        <w:spacing w:after="0"/>
        <w:jc w:val="both"/>
        <w:rPr>
          <w:rFonts w:ascii="Times New Roman" w:hAnsi="Times New Roman" w:cs="Times New Roman"/>
          <w:sz w:val="24"/>
          <w:szCs w:val="24"/>
        </w:rPr>
      </w:pPr>
      <w:r w:rsidRPr="000768F0">
        <w:rPr>
          <w:rFonts w:ascii="Times New Roman" w:hAnsi="Times New Roman" w:cs="Times New Roman"/>
          <w:sz w:val="24"/>
          <w:szCs w:val="24"/>
        </w:rPr>
        <w:t xml:space="preserve">b) a fronte del chiaro disposto dell’art. 49, comma 4, D. Lgs. n. 36/2023, pur richiamato con clausola di stile all’interno della determinazione n. 2282 del 25.9.2024, </w:t>
      </w:r>
      <w:r w:rsidRPr="000768F0">
        <w:rPr>
          <w:rFonts w:ascii="Times New Roman" w:hAnsi="Times New Roman" w:cs="Times New Roman"/>
          <w:b/>
          <w:bCs/>
          <w:sz w:val="24"/>
          <w:szCs w:val="24"/>
        </w:rPr>
        <w:t>l’Amministrazione non ha in alcun modo motivato</w:t>
      </w:r>
      <w:r w:rsidRPr="000768F0">
        <w:rPr>
          <w:rFonts w:ascii="Times New Roman" w:hAnsi="Times New Roman" w:cs="Times New Roman"/>
          <w:sz w:val="24"/>
          <w:szCs w:val="24"/>
        </w:rPr>
        <w:t xml:space="preserve"> – a supporto della scelta di invitare nuovamente il precedente affidatario del servizio – in merito alla (eventuale) </w:t>
      </w:r>
      <w:r w:rsidRPr="000768F0">
        <w:rPr>
          <w:rFonts w:ascii="Times New Roman" w:hAnsi="Times New Roman" w:cs="Times New Roman"/>
          <w:b/>
          <w:bCs/>
          <w:sz w:val="24"/>
          <w:szCs w:val="24"/>
        </w:rPr>
        <w:t>insussistenza di alternative sul mercato</w:t>
      </w:r>
      <w:r w:rsidRPr="000768F0">
        <w:rPr>
          <w:rFonts w:ascii="Times New Roman" w:hAnsi="Times New Roman" w:cs="Times New Roman"/>
          <w:sz w:val="24"/>
          <w:szCs w:val="24"/>
        </w:rPr>
        <w:t xml:space="preserve"> (</w:t>
      </w:r>
      <w:r w:rsidRPr="000768F0">
        <w:rPr>
          <w:rFonts w:ascii="Times New Roman" w:hAnsi="Times New Roman" w:cs="Times New Roman"/>
          <w:sz w:val="24"/>
          <w:szCs w:val="24"/>
          <w:u w:val="single"/>
        </w:rPr>
        <w:t>circostanza, peraltro, contraddetta in concreto dalla partecipazione della società ricorrente alla procedura</w:t>
      </w:r>
      <w:r w:rsidRPr="000768F0">
        <w:rPr>
          <w:rFonts w:ascii="Times New Roman" w:hAnsi="Times New Roman" w:cs="Times New Roman"/>
          <w:sz w:val="24"/>
          <w:szCs w:val="24"/>
        </w:rPr>
        <w:t xml:space="preserve">) e alle </w:t>
      </w:r>
      <w:r w:rsidRPr="000768F0">
        <w:rPr>
          <w:rFonts w:ascii="Times New Roman" w:hAnsi="Times New Roman" w:cs="Times New Roman"/>
          <w:b/>
          <w:bCs/>
          <w:sz w:val="24"/>
          <w:szCs w:val="24"/>
        </w:rPr>
        <w:t>caratteristiche qualitative</w:t>
      </w:r>
      <w:r w:rsidRPr="000768F0">
        <w:rPr>
          <w:rFonts w:ascii="Times New Roman" w:hAnsi="Times New Roman" w:cs="Times New Roman"/>
          <w:sz w:val="24"/>
          <w:szCs w:val="24"/>
        </w:rPr>
        <w:t xml:space="preserve"> della precedente prestazione ad opera della controinteressata;</w:t>
      </w:r>
    </w:p>
    <w:p w14:paraId="56277935" w14:textId="77777777" w:rsidR="00031E46" w:rsidRDefault="00031E46" w:rsidP="00031E46">
      <w:pPr>
        <w:spacing w:after="0"/>
        <w:jc w:val="both"/>
        <w:rPr>
          <w:rFonts w:ascii="Times New Roman" w:hAnsi="Times New Roman" w:cs="Times New Roman"/>
          <w:sz w:val="24"/>
          <w:szCs w:val="24"/>
        </w:rPr>
      </w:pPr>
      <w:r w:rsidRPr="000768F0">
        <w:rPr>
          <w:rFonts w:ascii="Times New Roman" w:hAnsi="Times New Roman" w:cs="Times New Roman"/>
          <w:sz w:val="24"/>
          <w:szCs w:val="24"/>
        </w:rPr>
        <w:t>c</w:t>
      </w:r>
      <w:r w:rsidRPr="000768F0">
        <w:rPr>
          <w:rFonts w:ascii="Times New Roman" w:hAnsi="Times New Roman" w:cs="Times New Roman"/>
          <w:b/>
          <w:bCs/>
          <w:sz w:val="24"/>
          <w:szCs w:val="24"/>
        </w:rPr>
        <w:t xml:space="preserve">) </w:t>
      </w:r>
      <w:proofErr w:type="gramStart"/>
      <w:r w:rsidRPr="000768F0">
        <w:rPr>
          <w:rFonts w:ascii="Times New Roman" w:hAnsi="Times New Roman" w:cs="Times New Roman"/>
          <w:b/>
          <w:bCs/>
          <w:sz w:val="24"/>
          <w:szCs w:val="24"/>
        </w:rPr>
        <w:t>né</w:t>
      </w:r>
      <w:proofErr w:type="gramEnd"/>
      <w:r w:rsidRPr="000768F0">
        <w:rPr>
          <w:rFonts w:ascii="Times New Roman" w:hAnsi="Times New Roman" w:cs="Times New Roman"/>
          <w:b/>
          <w:bCs/>
          <w:sz w:val="24"/>
          <w:szCs w:val="24"/>
        </w:rPr>
        <w:t xml:space="preserve"> può essere utilmente invocato nella specie dalle difese resistenti il disposto del comma 5 dell’art. 49 D. Lgs. n. 36 cit., poiché tale disposizione derogatoria al principio di rotazione (prevista dal legislatore per il caso dell’indagine di mercato effettuata senza porre limiti al numero di operatori economici, in possesso dei requisiti richiesti da invitare alla successiva procedura negoziata) è praticabile esclusivamente “per i contratti affidati con le procedure di cui all’articolo 50, comma 1, lettere c), d) ed e)” dello stesso D. Lgs. n. 36/2023</w:t>
      </w:r>
      <w:r w:rsidRPr="000768F0">
        <w:rPr>
          <w:rFonts w:ascii="Times New Roman" w:hAnsi="Times New Roman" w:cs="Times New Roman"/>
          <w:sz w:val="24"/>
          <w:szCs w:val="24"/>
        </w:rPr>
        <w:t xml:space="preserve">, </w:t>
      </w:r>
      <w:r w:rsidRPr="000768F0">
        <w:rPr>
          <w:rFonts w:ascii="Times New Roman" w:hAnsi="Times New Roman" w:cs="Times New Roman"/>
          <w:b/>
          <w:bCs/>
          <w:sz w:val="24"/>
          <w:szCs w:val="24"/>
        </w:rPr>
        <w:t>ossia per le procedure negoziate senza bando</w:t>
      </w:r>
      <w:r w:rsidRPr="000768F0">
        <w:rPr>
          <w:rFonts w:ascii="Times New Roman" w:hAnsi="Times New Roman" w:cs="Times New Roman"/>
          <w:sz w:val="24"/>
          <w:szCs w:val="24"/>
        </w:rPr>
        <w:t xml:space="preserve">, relative, rispettivamente, ad appalti di lavori di importo pari o superiore a € 150.000,00 ed inferiore a € 1.000.000,00 (lett. c), ad appalti di lavori di importo pari o superiore a € 1.000.000,00 ed inferiore alla soglia di rilevanza europea (lett. d) e, infine, ad appalti di servizi e/o forniture di importo pari o superiore a € 140.000,00 ed inferiore alla soglia di rilevanza (lett. e); </w:t>
      </w:r>
      <w:r w:rsidRPr="000768F0">
        <w:rPr>
          <w:rFonts w:ascii="Times New Roman" w:hAnsi="Times New Roman" w:cs="Times New Roman"/>
          <w:b/>
          <w:bCs/>
          <w:sz w:val="24"/>
          <w:szCs w:val="24"/>
        </w:rPr>
        <w:t>con la conseguenza che nessuna delle suddette ipotesi si attaglia alla fattispecie in esame, riguardante l’affidamento di un servizio avente come importo a base di gara la somma di € 120.000,00, ovvero assoggettato alla disciplina degli affidamenti di importo inferiore a € 140.000,00</w:t>
      </w:r>
      <w:r w:rsidRPr="000768F0">
        <w:rPr>
          <w:rFonts w:ascii="Times New Roman" w:hAnsi="Times New Roman" w:cs="Times New Roman"/>
          <w:sz w:val="24"/>
          <w:szCs w:val="24"/>
        </w:rPr>
        <w:t>, ex art. 50, comma 1, lett. b), del D. Lgs. n. 36/2023 (in senso conforme, cfr. TAR Potenza, Sez. I, 21.12.2023, n. 738)</w:t>
      </w:r>
      <w:r>
        <w:rPr>
          <w:rFonts w:ascii="Times New Roman" w:hAnsi="Times New Roman" w:cs="Times New Roman"/>
          <w:sz w:val="24"/>
          <w:szCs w:val="24"/>
        </w:rPr>
        <w:t>.</w:t>
      </w:r>
    </w:p>
    <w:p w14:paraId="4361BA19" w14:textId="77777777" w:rsidR="00031E46" w:rsidRDefault="00031E46" w:rsidP="00031E46">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 </w:t>
      </w:r>
    </w:p>
    <w:p w14:paraId="172D34BD" w14:textId="77777777" w:rsidR="00031E46" w:rsidRDefault="00031E46" w:rsidP="00031E46">
      <w:pPr>
        <w:spacing w:after="0"/>
        <w:jc w:val="both"/>
        <w:rPr>
          <w:rFonts w:ascii="Times New Roman" w:hAnsi="Times New Roman" w:cs="Times New Roman"/>
          <w:sz w:val="24"/>
          <w:szCs w:val="24"/>
        </w:rPr>
      </w:pPr>
    </w:p>
    <w:p w14:paraId="3C4D0077" w14:textId="77777777" w:rsidR="00031E46" w:rsidRPr="00B31CC1" w:rsidRDefault="00031E46" w:rsidP="00031E46">
      <w:pPr>
        <w:spacing w:after="0"/>
        <w:rPr>
          <w:rFonts w:ascii="Times New Roman" w:hAnsi="Times New Roman" w:cs="Times New Roman"/>
          <w:b/>
          <w:bCs/>
          <w:sz w:val="24"/>
          <w:szCs w:val="24"/>
        </w:rPr>
      </w:pPr>
      <w:r w:rsidRPr="00B31CC1">
        <w:rPr>
          <w:rFonts w:ascii="Times New Roman" w:hAnsi="Times New Roman" w:cs="Times New Roman"/>
          <w:b/>
          <w:bCs/>
          <w:sz w:val="24"/>
          <w:szCs w:val="24"/>
        </w:rPr>
        <w:t>Tar Campania, Napoli, Sez. III, 4.02.2025, n. 909</w:t>
      </w:r>
    </w:p>
    <w:p w14:paraId="7117ABD8" w14:textId="77777777" w:rsidR="00031E46" w:rsidRPr="00B31CC1" w:rsidRDefault="00031E46" w:rsidP="00031E46">
      <w:pPr>
        <w:spacing w:after="0"/>
        <w:jc w:val="both"/>
        <w:rPr>
          <w:rFonts w:ascii="Times New Roman" w:hAnsi="Times New Roman" w:cs="Times New Roman"/>
          <w:b/>
          <w:bCs/>
          <w:i/>
          <w:iCs/>
          <w:sz w:val="24"/>
          <w:szCs w:val="24"/>
        </w:rPr>
      </w:pPr>
      <w:r w:rsidRPr="00B31CC1">
        <w:rPr>
          <w:rFonts w:ascii="Times New Roman" w:hAnsi="Times New Roman" w:cs="Times New Roman"/>
          <w:b/>
          <w:bCs/>
          <w:i/>
          <w:iCs/>
          <w:sz w:val="24"/>
          <w:szCs w:val="24"/>
        </w:rPr>
        <w:lastRenderedPageBreak/>
        <w:t>Sulla legittimità dell’affidamento procedimentalizzato</w:t>
      </w:r>
    </w:p>
    <w:p w14:paraId="34287CC6"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Come già affermato dalla giurisprudenza in fattispecie analoghe, “</w:t>
      </w:r>
      <w:r w:rsidRPr="00B31CC1">
        <w:rPr>
          <w:rFonts w:ascii="Times New Roman" w:hAnsi="Times New Roman" w:cs="Times New Roman"/>
          <w:b/>
          <w:bCs/>
          <w:sz w:val="24"/>
          <w:szCs w:val="24"/>
        </w:rPr>
        <w:t>la mera procedimentalizzazione dell'affidamento diretto, mediante l'acquisizione di una pluralità di preventivi e l'indicazione dei criteri per la selezione degli operatori</w:t>
      </w:r>
      <w:r w:rsidRPr="00B31CC1">
        <w:rPr>
          <w:rFonts w:ascii="Times New Roman" w:hAnsi="Times New Roman" w:cs="Times New Roman"/>
          <w:sz w:val="24"/>
          <w:szCs w:val="24"/>
        </w:rPr>
        <w:t xml:space="preserve"> (procedimentalizzazione che, peraltro, corrisponde alle previsioni contenute nelle Linee Guida n. 4 per tutti gli affidamenti diretti; cfr. il par. 4.1.2 sull'avvio della procedura), </w:t>
      </w:r>
      <w:r w:rsidRPr="00B31CC1">
        <w:rPr>
          <w:rFonts w:ascii="Times New Roman" w:hAnsi="Times New Roman" w:cs="Times New Roman"/>
          <w:b/>
          <w:bCs/>
          <w:sz w:val="24"/>
          <w:szCs w:val="24"/>
        </w:rPr>
        <w:t>non trasforma l'affidamento diretto in una procedura di gara</w:t>
      </w:r>
      <w:r w:rsidRPr="00B31CC1">
        <w:rPr>
          <w:rFonts w:ascii="Times New Roman" w:hAnsi="Times New Roman" w:cs="Times New Roman"/>
          <w:sz w:val="24"/>
          <w:szCs w:val="24"/>
        </w:rPr>
        <w:t>, né abilita i soggetti che non siano stati selezionati a contestare le valutazioni effettuate dall'Amministrazione circa la rispondenza dei prodotti offerti alle proprie esigenze” (cfr. Cons. di Stato, sez. V, 15.01.2024, n. 503; Sez. IV, 23.04.2021 n. 3287; in termini, TAR Venezia, Sez. I, 13.06.2022 n. 981; TAR Basilicata, Sez. I, 11.02.2022 n. 108; TAR Marche, Sez. I, 07.06.2021 n. 468).</w:t>
      </w:r>
    </w:p>
    <w:p w14:paraId="104782C9"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 xml:space="preserve">Inoltre, la giurisprudenza ha anche puntualizzato che </w:t>
      </w:r>
      <w:r w:rsidRPr="00B31CC1">
        <w:rPr>
          <w:rFonts w:ascii="Times New Roman" w:hAnsi="Times New Roman" w:cs="Times New Roman"/>
          <w:b/>
          <w:bCs/>
          <w:sz w:val="24"/>
          <w:szCs w:val="24"/>
        </w:rPr>
        <w:t>non trasforma l’affidamento diretto in una procedura di gara neppure la richiesta del possesso, in capo agli operatori, di requisiti di capacità economico-finanziaria e tecnico-professionale</w:t>
      </w:r>
      <w:r w:rsidRPr="00B31CC1">
        <w:rPr>
          <w:rFonts w:ascii="Times New Roman" w:hAnsi="Times New Roman" w:cs="Times New Roman"/>
          <w:sz w:val="24"/>
          <w:szCs w:val="24"/>
        </w:rPr>
        <w:t xml:space="preserve"> che è, anzi, conforme a quanto previsto all’art. 17, c. 2, </w:t>
      </w:r>
      <w:proofErr w:type="spellStart"/>
      <w:r w:rsidRPr="00B31CC1">
        <w:rPr>
          <w:rFonts w:ascii="Times New Roman" w:hAnsi="Times New Roman" w:cs="Times New Roman"/>
          <w:sz w:val="24"/>
          <w:szCs w:val="24"/>
        </w:rPr>
        <w:t>d.Lgs.</w:t>
      </w:r>
      <w:proofErr w:type="spellEnd"/>
      <w:r w:rsidRPr="00B31CC1">
        <w:rPr>
          <w:rFonts w:ascii="Times New Roman" w:hAnsi="Times New Roman" w:cs="Times New Roman"/>
          <w:sz w:val="24"/>
          <w:szCs w:val="24"/>
        </w:rPr>
        <w:t xml:space="preserve"> n. 36/2023, in forza del quale, in caso di affidamento diretto, la decisione di contrarre “individua l'oggetto, l'importo e il contraente, unitamente alle ragioni della sua scelta, ai requisiti di carattere generale e, se necessari, a quelli inerenti alla capacità economico-finanziaria e tecnico-professionale” (T.A.R. Lazio, sez. seconda bis, 11 novembre 2024, </w:t>
      </w:r>
      <w:proofErr w:type="spellStart"/>
      <w:r w:rsidRPr="00B31CC1">
        <w:rPr>
          <w:rFonts w:ascii="Times New Roman" w:hAnsi="Times New Roman" w:cs="Times New Roman"/>
          <w:sz w:val="24"/>
          <w:szCs w:val="24"/>
        </w:rPr>
        <w:t>sent</w:t>
      </w:r>
      <w:proofErr w:type="spellEnd"/>
      <w:r w:rsidRPr="00B31CC1">
        <w:rPr>
          <w:rFonts w:ascii="Times New Roman" w:hAnsi="Times New Roman" w:cs="Times New Roman"/>
          <w:sz w:val="24"/>
          <w:szCs w:val="24"/>
        </w:rPr>
        <w:t xml:space="preserve">. 19840; T.A.R. Lombardia, sez. IV., 11 giugno 2024, </w:t>
      </w:r>
      <w:proofErr w:type="spellStart"/>
      <w:r w:rsidRPr="00B31CC1">
        <w:rPr>
          <w:rFonts w:ascii="Times New Roman" w:hAnsi="Times New Roman" w:cs="Times New Roman"/>
          <w:sz w:val="24"/>
          <w:szCs w:val="24"/>
        </w:rPr>
        <w:t>sent</w:t>
      </w:r>
      <w:proofErr w:type="spellEnd"/>
      <w:r w:rsidRPr="00B31CC1">
        <w:rPr>
          <w:rFonts w:ascii="Times New Roman" w:hAnsi="Times New Roman" w:cs="Times New Roman"/>
          <w:sz w:val="24"/>
          <w:szCs w:val="24"/>
        </w:rPr>
        <w:t>. 1778).</w:t>
      </w:r>
    </w:p>
    <w:p w14:paraId="22711E1B"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9. - Tanto chiarito, nel caso in esame, come già rilevato, la determina impugnata è datata 23 luglio 2024. In essa si prende atto, si approvano, e si rendono consultabili i verbali di commissione, ed inoltre si affida, ai sensi dell’art. 50 comma1 lett. b) del d. Lgs. 36/2023, in favore dell’operatore economico denominato Marica Società cooperativa Sociale, il servizio oggetto della procedura contestata.</w:t>
      </w:r>
    </w:p>
    <w:p w14:paraId="689CB76A"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Il Collegio ritiene che la suddetta determinazione si rivela senz’altro idonea a far considerare conclusa la procedura. Ne consegue l’infondatezza dell’eccezione di inammissibilità, sollevata dalle controparti costituite in giudizio, in ragione di una pretesa natura endoprocedimentale dell’atto impugnato (in tesi, dunque, privo di lesività) in quanto mera proposta di aggiudicazione.</w:t>
      </w:r>
    </w:p>
    <w:p w14:paraId="5F3553E5"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b/>
          <w:bCs/>
          <w:sz w:val="24"/>
          <w:szCs w:val="24"/>
        </w:rPr>
        <w:t>Le peculiarità della procedura come sopra evidenziate, sia pure procedimentalizzata, trovano conferma sia nell’Avviso pubblico</w:t>
      </w:r>
      <w:r w:rsidRPr="00B31CC1">
        <w:rPr>
          <w:rFonts w:ascii="Times New Roman" w:hAnsi="Times New Roman" w:cs="Times New Roman"/>
          <w:sz w:val="24"/>
          <w:szCs w:val="24"/>
        </w:rPr>
        <w:t xml:space="preserve"> il cui punto 5 prevede che “</w:t>
      </w:r>
      <w:r w:rsidRPr="00B31CC1">
        <w:rPr>
          <w:rFonts w:ascii="Times New Roman" w:hAnsi="Times New Roman" w:cs="Times New Roman"/>
          <w:i/>
          <w:iCs/>
          <w:sz w:val="24"/>
          <w:szCs w:val="24"/>
        </w:rPr>
        <w:t xml:space="preserve">L’ affidamento sarà effettuato mediante Trattativa Diretta sul </w:t>
      </w:r>
      <w:proofErr w:type="spellStart"/>
      <w:r w:rsidRPr="00B31CC1">
        <w:rPr>
          <w:rFonts w:ascii="Times New Roman" w:hAnsi="Times New Roman" w:cs="Times New Roman"/>
          <w:i/>
          <w:iCs/>
          <w:sz w:val="24"/>
          <w:szCs w:val="24"/>
        </w:rPr>
        <w:t>MePA</w:t>
      </w:r>
      <w:proofErr w:type="spellEnd"/>
      <w:r w:rsidRPr="00B31CC1">
        <w:rPr>
          <w:rFonts w:ascii="Times New Roman" w:hAnsi="Times New Roman" w:cs="Times New Roman"/>
          <w:i/>
          <w:iCs/>
          <w:sz w:val="24"/>
          <w:szCs w:val="24"/>
        </w:rPr>
        <w:t xml:space="preserve"> con l’operatore che verrà selezionato sulla base dell’indagine di mercato effettuata mediante il presente Avviso</w:t>
      </w:r>
      <w:r w:rsidRPr="00B31CC1">
        <w:rPr>
          <w:rFonts w:ascii="Times New Roman" w:hAnsi="Times New Roman" w:cs="Times New Roman"/>
          <w:sz w:val="24"/>
          <w:szCs w:val="24"/>
        </w:rPr>
        <w:t>” che nel capitolato speciale</w:t>
      </w:r>
      <w:r>
        <w:rPr>
          <w:rFonts w:ascii="Times New Roman" w:hAnsi="Times New Roman" w:cs="Times New Roman"/>
          <w:sz w:val="24"/>
          <w:szCs w:val="24"/>
        </w:rPr>
        <w:t>.</w:t>
      </w:r>
    </w:p>
    <w:p w14:paraId="1BE051BC" w14:textId="77777777" w:rsidR="00031E46"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 xml:space="preserve">Nel caso di specie, dunque si tratta di un </w:t>
      </w:r>
      <w:r w:rsidRPr="00B31CC1">
        <w:rPr>
          <w:rFonts w:ascii="Times New Roman" w:hAnsi="Times New Roman" w:cs="Times New Roman"/>
          <w:b/>
          <w:bCs/>
          <w:sz w:val="24"/>
          <w:szCs w:val="24"/>
        </w:rPr>
        <w:t>Avviso di raccolta preventivi per l’affidamento diretto</w:t>
      </w:r>
      <w:r w:rsidRPr="00B31CC1">
        <w:rPr>
          <w:rFonts w:ascii="Times New Roman" w:hAnsi="Times New Roman" w:cs="Times New Roman"/>
          <w:sz w:val="24"/>
          <w:szCs w:val="24"/>
        </w:rPr>
        <w:t xml:space="preserve"> ai sensi dell’art. 50 comma 1 lett. b) del D. Lgs. n. 36/2023 del Servizio di Supporto Ufficio di Piano da espletarsi </w:t>
      </w:r>
      <w:r w:rsidRPr="00B31CC1">
        <w:rPr>
          <w:rFonts w:ascii="Times New Roman" w:hAnsi="Times New Roman" w:cs="Times New Roman"/>
          <w:b/>
          <w:bCs/>
          <w:sz w:val="24"/>
          <w:szCs w:val="24"/>
        </w:rPr>
        <w:t>extra piattaforma digitale</w:t>
      </w:r>
      <w:r w:rsidRPr="00B31CC1">
        <w:rPr>
          <w:rFonts w:ascii="Times New Roman" w:hAnsi="Times New Roman" w:cs="Times New Roman"/>
          <w:sz w:val="24"/>
          <w:szCs w:val="24"/>
        </w:rPr>
        <w:t xml:space="preserve"> al fine di addivenire all’individuazione di un operatore economico con il quale procedere </w:t>
      </w:r>
      <w:r w:rsidRPr="00B31CC1">
        <w:rPr>
          <w:rFonts w:ascii="Times New Roman" w:hAnsi="Times New Roman" w:cs="Times New Roman"/>
          <w:b/>
          <w:bCs/>
          <w:sz w:val="24"/>
          <w:szCs w:val="24"/>
        </w:rPr>
        <w:t>successivamente ad un affidamento diretto su ME.PA</w:t>
      </w:r>
      <w:r w:rsidRPr="00B31CC1">
        <w:rPr>
          <w:rFonts w:ascii="Times New Roman" w:hAnsi="Times New Roman" w:cs="Times New Roman"/>
          <w:sz w:val="24"/>
          <w:szCs w:val="24"/>
        </w:rPr>
        <w:t>. (piattaforma digitale) espletando tutte le verifiche necessarie ivi compreso il collegamento con la Banca dati nazionale dei contratti pubblici.</w:t>
      </w:r>
    </w:p>
    <w:p w14:paraId="07AC4F19" w14:textId="77777777" w:rsidR="00031E46" w:rsidRDefault="00031E46" w:rsidP="00031E46">
      <w:pPr>
        <w:spacing w:after="0"/>
        <w:jc w:val="both"/>
        <w:rPr>
          <w:rFonts w:ascii="Times New Roman" w:hAnsi="Times New Roman" w:cs="Times New Roman"/>
          <w:b/>
          <w:bCs/>
          <w:i/>
          <w:iCs/>
          <w:sz w:val="24"/>
          <w:szCs w:val="24"/>
        </w:rPr>
      </w:pPr>
    </w:p>
    <w:p w14:paraId="78633597" w14:textId="77777777" w:rsidR="00031E46" w:rsidRDefault="00031E46" w:rsidP="00031E46">
      <w:pPr>
        <w:spacing w:after="0"/>
        <w:jc w:val="both"/>
        <w:rPr>
          <w:rFonts w:ascii="Times New Roman" w:hAnsi="Times New Roman" w:cs="Times New Roman"/>
          <w:b/>
          <w:bCs/>
          <w:i/>
          <w:iCs/>
          <w:sz w:val="24"/>
          <w:szCs w:val="24"/>
        </w:rPr>
      </w:pPr>
      <w:r w:rsidRPr="00B31CC1">
        <w:rPr>
          <w:rFonts w:ascii="Times New Roman" w:hAnsi="Times New Roman" w:cs="Times New Roman"/>
          <w:b/>
          <w:bCs/>
          <w:i/>
          <w:iCs/>
          <w:sz w:val="24"/>
          <w:szCs w:val="24"/>
        </w:rPr>
        <w:t>Sulla motivazione della determina di affidamento</w:t>
      </w:r>
    </w:p>
    <w:p w14:paraId="110BD4F3"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 xml:space="preserve">Come più volte evidenziato </w:t>
      </w:r>
      <w:r w:rsidRPr="00B31CC1">
        <w:rPr>
          <w:rFonts w:ascii="Times New Roman" w:hAnsi="Times New Roman" w:cs="Times New Roman"/>
          <w:b/>
          <w:bCs/>
          <w:sz w:val="24"/>
          <w:szCs w:val="24"/>
        </w:rPr>
        <w:t>l’amministrazione ha deciso di procedere tramite affidamento diretto preceduto da apposita indagine di mercato, procedimentalizzando tale modalità semplificata</w:t>
      </w:r>
      <w:r w:rsidRPr="00B31CC1">
        <w:rPr>
          <w:rFonts w:ascii="Times New Roman" w:hAnsi="Times New Roman" w:cs="Times New Roman"/>
          <w:sz w:val="24"/>
          <w:szCs w:val="24"/>
        </w:rPr>
        <w:t xml:space="preserve"> di individuazione del contraente. In applicazione dei suddetti principi generali </w:t>
      </w:r>
      <w:r w:rsidRPr="00B31CC1">
        <w:rPr>
          <w:rFonts w:ascii="Times New Roman" w:hAnsi="Times New Roman" w:cs="Times New Roman"/>
          <w:b/>
          <w:bCs/>
          <w:sz w:val="24"/>
          <w:szCs w:val="24"/>
        </w:rPr>
        <w:t>ha proceduto a svolgere l’iter di selezione.</w:t>
      </w:r>
      <w:r w:rsidRPr="00B31CC1">
        <w:rPr>
          <w:rFonts w:ascii="Times New Roman" w:hAnsi="Times New Roman" w:cs="Times New Roman"/>
          <w:sz w:val="24"/>
          <w:szCs w:val="24"/>
        </w:rPr>
        <w:t xml:space="preserve"> Tutto ciò nella imprescindibile consapevolezza dell’ampia discrezionalità di cui, in assenza di una vera e propria comparazione, la stazione appaltante gode nella scelta dell’offerta più rispondente al proprio fabbisogno.</w:t>
      </w:r>
    </w:p>
    <w:p w14:paraId="0DF521C2"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 xml:space="preserve">L’amministrazione </w:t>
      </w:r>
      <w:r w:rsidRPr="00B31CC1">
        <w:rPr>
          <w:rFonts w:ascii="Times New Roman" w:hAnsi="Times New Roman" w:cs="Times New Roman"/>
          <w:b/>
          <w:bCs/>
          <w:sz w:val="24"/>
          <w:szCs w:val="24"/>
        </w:rPr>
        <w:t>nel rispetto della procedura che ha inteso seguire nel caso in esame</w:t>
      </w:r>
      <w:r w:rsidRPr="00B31CC1">
        <w:rPr>
          <w:rFonts w:ascii="Times New Roman" w:hAnsi="Times New Roman" w:cs="Times New Roman"/>
          <w:sz w:val="24"/>
          <w:szCs w:val="24"/>
        </w:rPr>
        <w:t xml:space="preserve"> (sull’auto-vincolo vedi da ultimo T.A.R. Lombardia, Milano, sez. IV </w:t>
      </w:r>
      <w:proofErr w:type="spellStart"/>
      <w:r w:rsidRPr="00B31CC1">
        <w:rPr>
          <w:rFonts w:ascii="Times New Roman" w:hAnsi="Times New Roman" w:cs="Times New Roman"/>
          <w:sz w:val="24"/>
          <w:szCs w:val="24"/>
        </w:rPr>
        <w:t>sent</w:t>
      </w:r>
      <w:proofErr w:type="spellEnd"/>
      <w:r w:rsidRPr="00B31CC1">
        <w:rPr>
          <w:rFonts w:ascii="Times New Roman" w:hAnsi="Times New Roman" w:cs="Times New Roman"/>
          <w:sz w:val="24"/>
          <w:szCs w:val="24"/>
        </w:rPr>
        <w:t xml:space="preserve">. n. 3592 del 10.12.2024) ha esplicitato nell’Avviso pubblico, e in modo più specifico nel Capitolato speciale, </w:t>
      </w:r>
      <w:r w:rsidRPr="00B31CC1">
        <w:rPr>
          <w:rFonts w:ascii="Times New Roman" w:hAnsi="Times New Roman" w:cs="Times New Roman"/>
          <w:b/>
          <w:bCs/>
          <w:sz w:val="24"/>
          <w:szCs w:val="24"/>
        </w:rPr>
        <w:t>le modalità di valutazione</w:t>
      </w:r>
      <w:r w:rsidRPr="00B31CC1">
        <w:rPr>
          <w:rFonts w:ascii="Times New Roman" w:hAnsi="Times New Roman" w:cs="Times New Roman"/>
          <w:sz w:val="24"/>
          <w:szCs w:val="24"/>
        </w:rPr>
        <w:t xml:space="preserve">: </w:t>
      </w:r>
      <w:r w:rsidRPr="00B31CC1">
        <w:rPr>
          <w:rFonts w:ascii="Times New Roman" w:hAnsi="Times New Roman" w:cs="Times New Roman"/>
          <w:sz w:val="24"/>
          <w:szCs w:val="24"/>
        </w:rPr>
        <w:lastRenderedPageBreak/>
        <w:t>“per quanto attiene i requisiti di natura qualitativa, in coerenza con le linee guida ANAC n. 2 del 21/09/2016, sarà effettuato mediante l’applicazione della seguente formula lineare spezzata sulla media interdipendente”; inoltre, il successivo art 8 è stato espressamente dedicato all’indicazione dei criteri di valutazione, affidata ad una Commissione giudicatrice.</w:t>
      </w:r>
    </w:p>
    <w:p w14:paraId="101CBACA" w14:textId="77777777" w:rsidR="00031E46" w:rsidRPr="00B31CC1"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b/>
          <w:bCs/>
          <w:sz w:val="24"/>
          <w:szCs w:val="24"/>
        </w:rPr>
        <w:t>Ne consegue che non merita pregio la presunta carenza di motivazione nella scelta dell’operatore economico vincitore, stante il rispetto delle regole poste prima dello svolgimento della procedura e in ragione della discrezionalità dell’amministrazione procedente in materia</w:t>
      </w:r>
      <w:r w:rsidRPr="00B31CC1">
        <w:rPr>
          <w:rFonts w:ascii="Times New Roman" w:hAnsi="Times New Roman" w:cs="Times New Roman"/>
          <w:sz w:val="24"/>
          <w:szCs w:val="24"/>
        </w:rPr>
        <w:t>, a cui si accompagna la genericità delle censure a fronte dell’espresso richiamo ai verbali di commissione che, dunque, supportano la motivazione nella determina di affidamento.</w:t>
      </w:r>
    </w:p>
    <w:p w14:paraId="39368A69" w14:textId="77777777" w:rsidR="00031E46" w:rsidRPr="00B31CC1" w:rsidRDefault="00031E46" w:rsidP="00031E46">
      <w:pPr>
        <w:spacing w:after="0"/>
        <w:jc w:val="both"/>
        <w:rPr>
          <w:rFonts w:ascii="Times New Roman" w:hAnsi="Times New Roman" w:cs="Times New Roman"/>
          <w:sz w:val="24"/>
          <w:szCs w:val="24"/>
          <w:u w:val="single"/>
        </w:rPr>
      </w:pPr>
      <w:r w:rsidRPr="00B31CC1">
        <w:rPr>
          <w:rFonts w:ascii="Times New Roman" w:hAnsi="Times New Roman" w:cs="Times New Roman"/>
          <w:b/>
          <w:bCs/>
          <w:sz w:val="24"/>
          <w:szCs w:val="24"/>
        </w:rPr>
        <w:t xml:space="preserve">Diversamente dal caso oggetto della sopra richiama pronuncia del T.A.R. Milano (sull’auto-vincolo, </w:t>
      </w:r>
      <w:proofErr w:type="spellStart"/>
      <w:r w:rsidRPr="00B31CC1">
        <w:rPr>
          <w:rFonts w:ascii="Times New Roman" w:hAnsi="Times New Roman" w:cs="Times New Roman"/>
          <w:b/>
          <w:bCs/>
          <w:sz w:val="24"/>
          <w:szCs w:val="24"/>
        </w:rPr>
        <w:t>sent</w:t>
      </w:r>
      <w:proofErr w:type="spellEnd"/>
      <w:r w:rsidRPr="00B31CC1">
        <w:rPr>
          <w:rFonts w:ascii="Times New Roman" w:hAnsi="Times New Roman" w:cs="Times New Roman"/>
          <w:b/>
          <w:bCs/>
          <w:sz w:val="24"/>
          <w:szCs w:val="24"/>
        </w:rPr>
        <w:t>. 3592/2024, cit.), dunque, nel caso in esame, non si ravvisano violazioni dei criteri a cui la stessa amministrazione procedente ha inteso auto-vincolarsi</w:t>
      </w:r>
      <w:r w:rsidRPr="00B31CC1">
        <w:rPr>
          <w:rFonts w:ascii="Times New Roman" w:hAnsi="Times New Roman" w:cs="Times New Roman"/>
          <w:sz w:val="24"/>
          <w:szCs w:val="24"/>
        </w:rPr>
        <w:t xml:space="preserve">. </w:t>
      </w:r>
      <w:r w:rsidRPr="00B31CC1">
        <w:rPr>
          <w:rFonts w:ascii="Times New Roman" w:hAnsi="Times New Roman" w:cs="Times New Roman"/>
          <w:sz w:val="24"/>
          <w:szCs w:val="24"/>
          <w:u w:val="single"/>
        </w:rPr>
        <w:t>Quanto appena rilevato, del resto, non scalfisce il principio consolidato, più volte ribadito, secondo cui la mera procedimentalizzazione dell’affidamento diretto, mediante l’acquisizione di una pluralità di preventivi e l’indicazione dei criteri per la selezione degli operatori, non trasforma l’affidamento diretto in una procedura di gara, né abilita i soggetti che non siano stati selezionati a contestare le valutazioni effettuate dall’amministrazione circa la rispondenza dei prodotti offerti alle proprie esigenze (si rimanda alla copiosa giurisprudenza sopra citata e alla delibera Anac n. 410 dell’11 settembre 2024).</w:t>
      </w:r>
    </w:p>
    <w:p w14:paraId="7C68AC5E" w14:textId="77777777" w:rsidR="00031E46" w:rsidRDefault="00031E46" w:rsidP="00031E46">
      <w:pPr>
        <w:spacing w:after="0"/>
        <w:jc w:val="both"/>
        <w:rPr>
          <w:rFonts w:ascii="Times New Roman" w:hAnsi="Times New Roman" w:cs="Times New Roman"/>
          <w:sz w:val="24"/>
          <w:szCs w:val="24"/>
        </w:rPr>
      </w:pPr>
      <w:r w:rsidRPr="00B31CC1">
        <w:rPr>
          <w:rFonts w:ascii="Times New Roman" w:hAnsi="Times New Roman" w:cs="Times New Roman"/>
          <w:sz w:val="24"/>
          <w:szCs w:val="24"/>
        </w:rPr>
        <w:t xml:space="preserve">Da ultimo, con riferimento alle doglianze di parte ricorrente circa </w:t>
      </w:r>
      <w:r w:rsidRPr="00B31CC1">
        <w:rPr>
          <w:rFonts w:ascii="Times New Roman" w:hAnsi="Times New Roman" w:cs="Times New Roman"/>
          <w:b/>
          <w:bCs/>
          <w:sz w:val="24"/>
          <w:szCs w:val="24"/>
        </w:rPr>
        <w:t>le valutazioni espresse, giova richiamare la consolidata giurisprudenza che esclude la sindacabilità delle valutazioni tecniche, al di fuori dei casi di palese inattendibilità,</w:t>
      </w:r>
      <w:r w:rsidRPr="00B31CC1">
        <w:rPr>
          <w:rFonts w:ascii="Times New Roman" w:hAnsi="Times New Roman" w:cs="Times New Roman"/>
          <w:sz w:val="24"/>
          <w:szCs w:val="24"/>
        </w:rPr>
        <w:t xml:space="preserve"> in quanto “il sindacato del giudice sull’esercizio dell’attività valutativa da parte della commissione giudicatrice di gara non può sostituirsi a quello della pubblica amministrazione, in quanto la valutazione delle offerte rientra nell’ampia discrezionalità tecnica riconosciuta alla commissione; le censure che attengono al merito di tale valutazione sono inammissibili perché sollecitano il giudice amministrativo ad esercitare un sindacato sostitutivo, fatto salvo il limite dell’abnormità della scelta tecnica” (ex </w:t>
      </w:r>
      <w:proofErr w:type="spellStart"/>
      <w:r w:rsidRPr="00B31CC1">
        <w:rPr>
          <w:rFonts w:ascii="Times New Roman" w:hAnsi="Times New Roman" w:cs="Times New Roman"/>
          <w:sz w:val="24"/>
          <w:szCs w:val="24"/>
        </w:rPr>
        <w:t>multis</w:t>
      </w:r>
      <w:proofErr w:type="spellEnd"/>
      <w:r w:rsidRPr="00B31CC1">
        <w:rPr>
          <w:rFonts w:ascii="Times New Roman" w:hAnsi="Times New Roman" w:cs="Times New Roman"/>
          <w:sz w:val="24"/>
          <w:szCs w:val="24"/>
        </w:rPr>
        <w:t>, Cons. Stato - sez. IV, 22/11/2024 n. 9404; T.A.R. Napoli, sez. I, 13.01.2025, n. 279).</w:t>
      </w:r>
    </w:p>
    <w:p w14:paraId="56A98443" w14:textId="77777777" w:rsidR="00031E46" w:rsidRDefault="00031E46" w:rsidP="00031E46">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 </w:t>
      </w:r>
    </w:p>
    <w:p w14:paraId="4043F0C1" w14:textId="77777777" w:rsidR="00031E46" w:rsidRDefault="00031E46" w:rsidP="00031E46">
      <w:pPr>
        <w:spacing w:after="0"/>
        <w:jc w:val="both"/>
        <w:rPr>
          <w:rFonts w:ascii="Times New Roman" w:hAnsi="Times New Roman" w:cs="Times New Roman"/>
          <w:sz w:val="24"/>
          <w:szCs w:val="24"/>
        </w:rPr>
      </w:pPr>
    </w:p>
    <w:p w14:paraId="097803F8" w14:textId="77777777" w:rsidR="00031E46" w:rsidRDefault="00031E46" w:rsidP="00031E46">
      <w:pPr>
        <w:spacing w:after="0"/>
        <w:jc w:val="both"/>
        <w:rPr>
          <w:rFonts w:ascii="Times New Roman" w:hAnsi="Times New Roman" w:cs="Times New Roman"/>
          <w:b/>
          <w:bCs/>
          <w:sz w:val="24"/>
          <w:szCs w:val="24"/>
        </w:rPr>
      </w:pPr>
      <w:r w:rsidRPr="00046C4E">
        <w:rPr>
          <w:rFonts w:ascii="Times New Roman" w:hAnsi="Times New Roman" w:cs="Times New Roman"/>
          <w:b/>
          <w:bCs/>
          <w:sz w:val="24"/>
          <w:szCs w:val="24"/>
        </w:rPr>
        <w:t>TAR Catanzaro, 17.06.2024 n. 958</w:t>
      </w:r>
      <w:r>
        <w:rPr>
          <w:rFonts w:ascii="Times New Roman" w:hAnsi="Times New Roman" w:cs="Times New Roman"/>
          <w:b/>
          <w:bCs/>
          <w:sz w:val="24"/>
          <w:szCs w:val="24"/>
        </w:rPr>
        <w:t xml:space="preserve"> - De</w:t>
      </w:r>
      <w:r w:rsidRPr="00046C4E">
        <w:rPr>
          <w:rFonts w:ascii="Times New Roman" w:hAnsi="Times New Roman" w:cs="Times New Roman"/>
          <w:b/>
          <w:bCs/>
          <w:sz w:val="24"/>
          <w:szCs w:val="24"/>
        </w:rPr>
        <w:t xml:space="preserve">libera </w:t>
      </w:r>
      <w:r>
        <w:rPr>
          <w:rFonts w:ascii="Times New Roman" w:hAnsi="Times New Roman" w:cs="Times New Roman"/>
          <w:b/>
          <w:bCs/>
          <w:sz w:val="24"/>
          <w:szCs w:val="24"/>
        </w:rPr>
        <w:t xml:space="preserve">Anac, </w:t>
      </w:r>
      <w:r w:rsidRPr="00046C4E">
        <w:rPr>
          <w:rFonts w:ascii="Times New Roman" w:hAnsi="Times New Roman" w:cs="Times New Roman"/>
          <w:b/>
          <w:bCs/>
          <w:sz w:val="24"/>
          <w:szCs w:val="24"/>
        </w:rPr>
        <w:t xml:space="preserve">n. 396/2024 </w:t>
      </w:r>
    </w:p>
    <w:p w14:paraId="5C3CEB21" w14:textId="77777777" w:rsidR="00031E46" w:rsidRDefault="00031E46" w:rsidP="00031E46">
      <w:pPr>
        <w:spacing w:after="0"/>
        <w:jc w:val="both"/>
        <w:rPr>
          <w:rFonts w:ascii="Times New Roman" w:hAnsi="Times New Roman" w:cs="Times New Roman"/>
          <w:b/>
          <w:bCs/>
          <w:sz w:val="24"/>
          <w:szCs w:val="24"/>
        </w:rPr>
      </w:pPr>
      <w:r w:rsidRPr="00046C4E">
        <w:rPr>
          <w:rFonts w:ascii="Times New Roman" w:hAnsi="Times New Roman" w:cs="Times New Roman"/>
          <w:b/>
          <w:bCs/>
          <w:sz w:val="24"/>
          <w:szCs w:val="24"/>
        </w:rPr>
        <w:t>Sull’obbligo di indicare il costo della manodopera in caso di affidamento diretto</w:t>
      </w:r>
    </w:p>
    <w:p w14:paraId="28152702" w14:textId="77777777" w:rsidR="00031E46" w:rsidRPr="00046C4E" w:rsidRDefault="00031E46" w:rsidP="00031E46">
      <w:pPr>
        <w:spacing w:after="0"/>
        <w:jc w:val="both"/>
        <w:rPr>
          <w:rFonts w:ascii="Times New Roman" w:hAnsi="Times New Roman" w:cs="Times New Roman"/>
          <w:sz w:val="24"/>
          <w:szCs w:val="24"/>
        </w:rPr>
      </w:pPr>
      <w:r w:rsidRPr="00046C4E">
        <w:rPr>
          <w:rFonts w:ascii="Times New Roman" w:hAnsi="Times New Roman" w:cs="Times New Roman"/>
          <w:sz w:val="24"/>
          <w:szCs w:val="24"/>
        </w:rPr>
        <w:t xml:space="preserve">Occorre premettere che l’art. </w:t>
      </w:r>
      <w:r w:rsidRPr="00046C4E">
        <w:rPr>
          <w:rFonts w:ascii="Times New Roman" w:hAnsi="Times New Roman" w:cs="Times New Roman"/>
          <w:b/>
          <w:bCs/>
          <w:sz w:val="24"/>
          <w:szCs w:val="24"/>
        </w:rPr>
        <w:t xml:space="preserve">108, comma 9 del </w:t>
      </w:r>
      <w:proofErr w:type="spellStart"/>
      <w:r w:rsidRPr="00046C4E">
        <w:rPr>
          <w:rFonts w:ascii="Times New Roman" w:hAnsi="Times New Roman" w:cs="Times New Roman"/>
          <w:b/>
          <w:bCs/>
          <w:sz w:val="24"/>
          <w:szCs w:val="24"/>
        </w:rPr>
        <w:t>D.Lgs.</w:t>
      </w:r>
      <w:proofErr w:type="spellEnd"/>
      <w:r w:rsidRPr="00046C4E">
        <w:rPr>
          <w:rFonts w:ascii="Times New Roman" w:hAnsi="Times New Roman" w:cs="Times New Roman"/>
          <w:b/>
          <w:bCs/>
          <w:sz w:val="24"/>
          <w:szCs w:val="24"/>
        </w:rPr>
        <w:t xml:space="preserve"> 36/2023</w:t>
      </w:r>
      <w:r w:rsidRPr="00046C4E">
        <w:rPr>
          <w:rFonts w:ascii="Times New Roman" w:hAnsi="Times New Roman" w:cs="Times New Roman"/>
          <w:sz w:val="24"/>
          <w:szCs w:val="24"/>
        </w:rPr>
        <w:t>, rubricato “Criteri di aggiudicazione degli appalti di lavori, servizi e forniture” prescrive che “Nell’offerta economica l’operatore indica, a pena di esclusione, i costi della manodopera e gli oneri aziendali per l’adempimento delle disposizioni in materia di salute e sicurezza sui luoghi di lavoro eccetto che nelle forniture senza posa in opera e nei servizi di natura intellettuale.”</w:t>
      </w:r>
    </w:p>
    <w:p w14:paraId="4E863F48" w14:textId="77777777" w:rsidR="00031E46" w:rsidRPr="00046C4E" w:rsidRDefault="00031E46" w:rsidP="00031E46">
      <w:pPr>
        <w:spacing w:after="0"/>
        <w:jc w:val="both"/>
        <w:rPr>
          <w:rFonts w:ascii="Times New Roman" w:hAnsi="Times New Roman" w:cs="Times New Roman"/>
          <w:sz w:val="24"/>
          <w:szCs w:val="24"/>
        </w:rPr>
      </w:pPr>
      <w:r w:rsidRPr="00046C4E">
        <w:rPr>
          <w:rFonts w:ascii="Times New Roman" w:hAnsi="Times New Roman" w:cs="Times New Roman"/>
          <w:b/>
          <w:bCs/>
          <w:sz w:val="24"/>
          <w:szCs w:val="24"/>
        </w:rPr>
        <w:t>L’art. 41, comma 14</w:t>
      </w:r>
      <w:r w:rsidRPr="00046C4E">
        <w:rPr>
          <w:rFonts w:ascii="Times New Roman" w:hAnsi="Times New Roman" w:cs="Times New Roman"/>
          <w:sz w:val="24"/>
          <w:szCs w:val="24"/>
        </w:rPr>
        <w:t xml:space="preserve"> del suddetto decreto prescrive poi che “Nei contratti di lavori e servizi, per determinare l’importo posto a base di gara, la stazione appaltante o l’ente concedente individua nei documenti di gara i costi della manodopera secondo quanto previsto dal comma 13.”</w:t>
      </w:r>
    </w:p>
    <w:p w14:paraId="0F3698E8" w14:textId="77777777" w:rsidR="00031E46" w:rsidRPr="00046C4E" w:rsidRDefault="00031E46" w:rsidP="00031E46">
      <w:pPr>
        <w:spacing w:after="0"/>
        <w:jc w:val="both"/>
        <w:rPr>
          <w:rFonts w:ascii="Times New Roman" w:hAnsi="Times New Roman" w:cs="Times New Roman"/>
          <w:sz w:val="24"/>
          <w:szCs w:val="24"/>
        </w:rPr>
      </w:pPr>
      <w:r w:rsidRPr="00046C4E">
        <w:rPr>
          <w:rFonts w:ascii="Times New Roman" w:hAnsi="Times New Roman" w:cs="Times New Roman"/>
          <w:sz w:val="24"/>
          <w:szCs w:val="24"/>
        </w:rPr>
        <w:t xml:space="preserve">Infine, </w:t>
      </w:r>
      <w:r w:rsidRPr="00046C4E">
        <w:rPr>
          <w:rFonts w:ascii="Times New Roman" w:hAnsi="Times New Roman" w:cs="Times New Roman"/>
          <w:b/>
          <w:bCs/>
          <w:sz w:val="24"/>
          <w:szCs w:val="24"/>
        </w:rPr>
        <w:t>l’art. 48 del decreto</w:t>
      </w:r>
      <w:r w:rsidRPr="00046C4E">
        <w:rPr>
          <w:rFonts w:ascii="Times New Roman" w:hAnsi="Times New Roman" w:cs="Times New Roman"/>
          <w:sz w:val="24"/>
          <w:szCs w:val="24"/>
        </w:rPr>
        <w:t xml:space="preserve"> dispone che “Ai contratti di importo inferiore alle soglie di rilevanza europea si applicano, se non derogate dalla presente Parte, le disposizioni del codice.”</w:t>
      </w:r>
    </w:p>
    <w:p w14:paraId="3C94B766" w14:textId="77777777" w:rsidR="00031E46" w:rsidRDefault="00031E46" w:rsidP="00031E46">
      <w:pPr>
        <w:spacing w:after="0"/>
        <w:jc w:val="both"/>
        <w:rPr>
          <w:rFonts w:ascii="Times New Roman" w:hAnsi="Times New Roman" w:cs="Times New Roman"/>
          <w:b/>
          <w:bCs/>
          <w:sz w:val="24"/>
          <w:szCs w:val="24"/>
        </w:rPr>
      </w:pPr>
      <w:r w:rsidRPr="00046C4E">
        <w:rPr>
          <w:rFonts w:ascii="Times New Roman" w:hAnsi="Times New Roman" w:cs="Times New Roman"/>
          <w:sz w:val="24"/>
          <w:szCs w:val="24"/>
        </w:rPr>
        <w:t xml:space="preserve">E, dunque, sulla scorta dei citati indici normativi ritiene il collegio che </w:t>
      </w:r>
      <w:r w:rsidRPr="00046C4E">
        <w:rPr>
          <w:rFonts w:ascii="Times New Roman" w:hAnsi="Times New Roman" w:cs="Times New Roman"/>
          <w:b/>
          <w:bCs/>
          <w:sz w:val="24"/>
          <w:szCs w:val="24"/>
        </w:rPr>
        <w:t>non possa escludersi l’applicabilità (anche) agli affidamenti diretti della regola sancita all’art. 108, comma 9 sull’obbligatorietà dell’indicazione dei costi della manodopera a pena di esclusione del concorrente</w:t>
      </w:r>
      <w:r w:rsidRPr="00046C4E">
        <w:rPr>
          <w:rFonts w:ascii="Times New Roman" w:hAnsi="Times New Roman" w:cs="Times New Roman"/>
          <w:sz w:val="24"/>
          <w:szCs w:val="24"/>
        </w:rPr>
        <w:t>.</w:t>
      </w:r>
      <w:r>
        <w:rPr>
          <w:rFonts w:ascii="Times New Roman" w:hAnsi="Times New Roman" w:cs="Times New Roman"/>
          <w:sz w:val="24"/>
          <w:szCs w:val="24"/>
        </w:rPr>
        <w:t xml:space="preserve"> </w:t>
      </w:r>
      <w:r w:rsidRPr="00046C4E">
        <w:rPr>
          <w:rFonts w:ascii="Times New Roman" w:hAnsi="Times New Roman" w:cs="Times New Roman"/>
          <w:sz w:val="24"/>
          <w:szCs w:val="24"/>
        </w:rPr>
        <w:t xml:space="preserve">Ai fini del decidere occorre rammentare che </w:t>
      </w:r>
      <w:r w:rsidRPr="00046C4E">
        <w:rPr>
          <w:rFonts w:ascii="Times New Roman" w:hAnsi="Times New Roman" w:cs="Times New Roman"/>
          <w:b/>
          <w:bCs/>
          <w:sz w:val="24"/>
          <w:szCs w:val="24"/>
        </w:rPr>
        <w:t xml:space="preserve">il previgente art. 95, comma 10, D. Lgs. n. 50/2016, </w:t>
      </w:r>
      <w:r w:rsidRPr="00046C4E">
        <w:rPr>
          <w:rFonts w:ascii="Times New Roman" w:hAnsi="Times New Roman" w:cs="Times New Roman"/>
          <w:sz w:val="24"/>
          <w:szCs w:val="24"/>
        </w:rPr>
        <w:t xml:space="preserve">rubricato “Criteri di aggiudicazione dell’appalto”, </w:t>
      </w:r>
      <w:r w:rsidRPr="00046C4E">
        <w:rPr>
          <w:rFonts w:ascii="Times New Roman" w:hAnsi="Times New Roman" w:cs="Times New Roman"/>
          <w:b/>
          <w:bCs/>
          <w:sz w:val="24"/>
          <w:szCs w:val="24"/>
        </w:rPr>
        <w:t>prescriveva che</w:t>
      </w:r>
      <w:r w:rsidRPr="00046C4E">
        <w:rPr>
          <w:rFonts w:ascii="Times New Roman" w:hAnsi="Times New Roman" w:cs="Times New Roman"/>
          <w:sz w:val="24"/>
          <w:szCs w:val="24"/>
        </w:rPr>
        <w:t xml:space="preserve"> “Nell’offerta economica l’operatore deve indicare i propri costi della manodopera e gli oneri aziendali concernenti </w:t>
      </w:r>
      <w:r w:rsidRPr="00046C4E">
        <w:rPr>
          <w:rFonts w:ascii="Times New Roman" w:hAnsi="Times New Roman" w:cs="Times New Roman"/>
          <w:sz w:val="24"/>
          <w:szCs w:val="24"/>
        </w:rPr>
        <w:lastRenderedPageBreak/>
        <w:t xml:space="preserve">l’adempimento delle disposizioni in materia di salute e sicurezza sui luoghi di lavoro ad esclusione delle forniture senza posa in opera, dei servizi di natura intellettuale e </w:t>
      </w:r>
      <w:r w:rsidRPr="00046C4E">
        <w:rPr>
          <w:rFonts w:ascii="Times New Roman" w:hAnsi="Times New Roman" w:cs="Times New Roman"/>
          <w:b/>
          <w:bCs/>
          <w:sz w:val="24"/>
          <w:szCs w:val="24"/>
        </w:rPr>
        <w:t>degli affidamenti ai sensi dell’articolo 36, comma 2, lettera a)</w:t>
      </w:r>
      <w:r>
        <w:rPr>
          <w:rFonts w:ascii="Times New Roman" w:hAnsi="Times New Roman" w:cs="Times New Roman"/>
          <w:b/>
          <w:bCs/>
          <w:sz w:val="24"/>
          <w:szCs w:val="24"/>
        </w:rPr>
        <w:t xml:space="preserve">”. </w:t>
      </w:r>
      <w:r w:rsidRPr="00046C4E">
        <w:rPr>
          <w:rFonts w:ascii="Times New Roman" w:hAnsi="Times New Roman" w:cs="Times New Roman"/>
          <w:b/>
          <w:bCs/>
          <w:sz w:val="24"/>
          <w:szCs w:val="24"/>
        </w:rPr>
        <w:t>Dal confronto tra le due disposizioni e dalla circostanza che il legislatore del nuovo codice abbia espunto l’affidamento diretto (“ai sensi dell’articolo 36, comma 2, lettera a”) quale eccezione all’obbligo di indicare i costi della manodopera</w:t>
      </w:r>
      <w:r>
        <w:rPr>
          <w:rFonts w:ascii="Times New Roman" w:hAnsi="Times New Roman" w:cs="Times New Roman"/>
          <w:b/>
          <w:bCs/>
          <w:sz w:val="24"/>
          <w:szCs w:val="24"/>
        </w:rPr>
        <w:t>.</w:t>
      </w:r>
    </w:p>
    <w:p w14:paraId="304CA9F5" w14:textId="77777777" w:rsidR="00031E46" w:rsidRDefault="00031E46" w:rsidP="00031E46">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 </w:t>
      </w:r>
    </w:p>
    <w:p w14:paraId="0820F70C" w14:textId="77777777" w:rsidR="00031E46" w:rsidRDefault="00031E46" w:rsidP="00031E46">
      <w:pPr>
        <w:spacing w:after="0"/>
        <w:jc w:val="both"/>
        <w:rPr>
          <w:rFonts w:ascii="Times New Roman" w:hAnsi="Times New Roman" w:cs="Times New Roman"/>
          <w:b/>
          <w:bCs/>
          <w:sz w:val="24"/>
          <w:szCs w:val="24"/>
        </w:rPr>
      </w:pPr>
    </w:p>
    <w:p w14:paraId="68F00D04" w14:textId="7940A7E0" w:rsidR="00656217" w:rsidRPr="000B2DC8" w:rsidRDefault="00656217" w:rsidP="00656217">
      <w:pPr>
        <w:spacing w:after="0"/>
        <w:jc w:val="both"/>
        <w:rPr>
          <w:rFonts w:ascii="Times New Roman" w:hAnsi="Times New Roman" w:cs="Times New Roman"/>
          <w:b/>
          <w:bCs/>
          <w:sz w:val="24"/>
          <w:szCs w:val="24"/>
        </w:rPr>
      </w:pPr>
      <w:r w:rsidRPr="000B2DC8">
        <w:rPr>
          <w:rFonts w:ascii="Times New Roman" w:hAnsi="Times New Roman" w:cs="Times New Roman"/>
          <w:b/>
          <w:bCs/>
          <w:sz w:val="24"/>
          <w:szCs w:val="24"/>
        </w:rPr>
        <w:t xml:space="preserve">Parere </w:t>
      </w:r>
      <w:proofErr w:type="spellStart"/>
      <w:r w:rsidRPr="000B2DC8">
        <w:rPr>
          <w:rFonts w:ascii="Times New Roman" w:hAnsi="Times New Roman" w:cs="Times New Roman"/>
          <w:b/>
          <w:bCs/>
          <w:sz w:val="24"/>
          <w:szCs w:val="24"/>
        </w:rPr>
        <w:t>Mit</w:t>
      </w:r>
      <w:proofErr w:type="spellEnd"/>
      <w:r w:rsidRPr="000B2DC8">
        <w:rPr>
          <w:rFonts w:ascii="Times New Roman" w:hAnsi="Times New Roman" w:cs="Times New Roman"/>
          <w:b/>
          <w:bCs/>
          <w:sz w:val="24"/>
          <w:szCs w:val="24"/>
        </w:rPr>
        <w:t xml:space="preserve"> 30.01.2025, n. 3218 </w:t>
      </w:r>
    </w:p>
    <w:p w14:paraId="5C303A74" w14:textId="77777777" w:rsidR="00656217" w:rsidRPr="000B2DC8" w:rsidRDefault="00656217" w:rsidP="00656217">
      <w:pPr>
        <w:spacing w:after="0"/>
        <w:jc w:val="both"/>
        <w:rPr>
          <w:rFonts w:ascii="Times New Roman" w:hAnsi="Times New Roman" w:cs="Times New Roman"/>
          <w:b/>
          <w:bCs/>
          <w:sz w:val="24"/>
          <w:szCs w:val="24"/>
        </w:rPr>
      </w:pPr>
      <w:r w:rsidRPr="000B2DC8">
        <w:rPr>
          <w:rFonts w:ascii="Times New Roman" w:hAnsi="Times New Roman" w:cs="Times New Roman"/>
          <w:b/>
          <w:bCs/>
          <w:sz w:val="24"/>
          <w:szCs w:val="24"/>
        </w:rPr>
        <w:t xml:space="preserve">Sull’affidamento diretto di un servizio sulla PAD certificata della stazione appaltante e non sul </w:t>
      </w:r>
      <w:proofErr w:type="spellStart"/>
      <w:r w:rsidRPr="000B2DC8">
        <w:rPr>
          <w:rFonts w:ascii="Times New Roman" w:hAnsi="Times New Roman" w:cs="Times New Roman"/>
          <w:b/>
          <w:bCs/>
          <w:sz w:val="24"/>
          <w:szCs w:val="24"/>
        </w:rPr>
        <w:t>Mepa</w:t>
      </w:r>
      <w:proofErr w:type="spellEnd"/>
    </w:p>
    <w:p w14:paraId="413F527A" w14:textId="77777777" w:rsidR="00656217" w:rsidRPr="000B2DC8" w:rsidRDefault="00656217" w:rsidP="00656217">
      <w:pPr>
        <w:jc w:val="both"/>
        <w:rPr>
          <w:rFonts w:ascii="Times New Roman" w:hAnsi="Times New Roman" w:cs="Times New Roman"/>
          <w:sz w:val="24"/>
          <w:szCs w:val="24"/>
        </w:rPr>
      </w:pPr>
      <w:r w:rsidRPr="000B2DC8">
        <w:rPr>
          <w:rFonts w:ascii="Times New Roman" w:hAnsi="Times New Roman" w:cs="Times New Roman"/>
          <w:sz w:val="24"/>
          <w:szCs w:val="24"/>
        </w:rPr>
        <w:t>Si chiede se l'affidamento diretto di un servizio, di importo compreso tra i 5.000 euro e i 140.000 euro, sia possibile acquisirlo, in alternativa all'uso del MEPA, tramite l'uso della PAD certificata in dotazione alla stazione appaltante, tenendo conto del disposto dell'art.62 del D.Lgs.n.36/2023. In altre parole, si chiede se si possa ritenere l'uso della PAD certificata della stazione appaltante equivalente all'uso del MEPA per un affidamento diretto di un servizio di importo inferiore a 140.000 euro.</w:t>
      </w:r>
    </w:p>
    <w:p w14:paraId="354BE019" w14:textId="77777777" w:rsidR="00656217" w:rsidRPr="000B2DC8" w:rsidRDefault="00656217" w:rsidP="00656217">
      <w:pPr>
        <w:jc w:val="both"/>
        <w:rPr>
          <w:rFonts w:ascii="Times New Roman" w:hAnsi="Times New Roman" w:cs="Times New Roman"/>
          <w:sz w:val="24"/>
          <w:szCs w:val="24"/>
        </w:rPr>
      </w:pPr>
      <w:r>
        <w:rPr>
          <w:rFonts w:ascii="Times New Roman" w:hAnsi="Times New Roman" w:cs="Times New Roman"/>
          <w:sz w:val="24"/>
          <w:szCs w:val="24"/>
        </w:rPr>
        <w:t xml:space="preserve">Risposta: </w:t>
      </w:r>
      <w:r w:rsidRPr="000B2DC8">
        <w:rPr>
          <w:rFonts w:ascii="Times New Roman" w:hAnsi="Times New Roman" w:cs="Times New Roman"/>
          <w:sz w:val="24"/>
          <w:szCs w:val="24"/>
        </w:rPr>
        <w:t xml:space="preserve">La questione riguarda la possibilità di utilizzare la Piattaforma di Approvvigionamento Digitale (PAD) certificata della stazione appaltante in alternativa all'uso del MEPA (Mercato Elettronico della Pubblica Amministrazione) per un affidamento diretto di servizi di importo compreso tra 5.000 euro e 140.000 euro, ai sensi dell'art. 62 del </w:t>
      </w:r>
      <w:proofErr w:type="spellStart"/>
      <w:r w:rsidRPr="000B2DC8">
        <w:rPr>
          <w:rFonts w:ascii="Times New Roman" w:hAnsi="Times New Roman" w:cs="Times New Roman"/>
          <w:sz w:val="24"/>
          <w:szCs w:val="24"/>
        </w:rPr>
        <w:t>D.Lgs.</w:t>
      </w:r>
      <w:proofErr w:type="spellEnd"/>
      <w:r w:rsidRPr="000B2DC8">
        <w:rPr>
          <w:rFonts w:ascii="Times New Roman" w:hAnsi="Times New Roman" w:cs="Times New Roman"/>
          <w:sz w:val="24"/>
          <w:szCs w:val="24"/>
        </w:rPr>
        <w:t xml:space="preserve"> 36/2023; purtuttavia la disciplina degli affidamenti sotto soglia fa espressamente salva l'applicazione delle misure di contenimento della spesa pubblica (art. 48, comma 3, </w:t>
      </w:r>
      <w:proofErr w:type="spellStart"/>
      <w:r w:rsidRPr="000B2DC8">
        <w:rPr>
          <w:rFonts w:ascii="Times New Roman" w:hAnsi="Times New Roman" w:cs="Times New Roman"/>
          <w:sz w:val="24"/>
          <w:szCs w:val="24"/>
        </w:rPr>
        <w:t>D.Lgs.</w:t>
      </w:r>
      <w:proofErr w:type="spellEnd"/>
      <w:r w:rsidRPr="000B2DC8">
        <w:rPr>
          <w:rFonts w:ascii="Times New Roman" w:hAnsi="Times New Roman" w:cs="Times New Roman"/>
          <w:sz w:val="24"/>
          <w:szCs w:val="24"/>
        </w:rPr>
        <w:t xml:space="preserve"> 36/2023). L'articolo 62 del nuovo Codice dei Contratti Pubblici prevede: le stazioni appaltanti devono ricorrere agli strumenti di approvvigionamento digitale anche per gli affidamenti sotto soglia, gli strumenti indicati includono mercati elettronici (come il MEPA) e altre piattaforme telematiche di negoziazione, purché siano certificate e garantiscano il rispetto dei principi di trasparenza, tracciabilità e parità di trattamento. Pertanto, le stazioni appaltanti, possono utilizzare piattaforme alternative al MEPA, come la propria PAD certificata, purché questa risponda ai requisiti normativi previsti. Ed invero, l'utilizzo della PAD certificata può essere ritenuto equivalente all'uso del MEPA per affidamenti diretti, a condizione che: La PAD sia conforme ai requisiti normativi: deve essere una piattaforma di approvvigionamento digitale certificata secondo le linee guida AGID. L'affidamento deve garantire il rispetto dei principi di economicità, efficacia, imparzialità, trasparenza, pubblicità e parità di trattamento, come previsto dal </w:t>
      </w:r>
      <w:proofErr w:type="spellStart"/>
      <w:r w:rsidRPr="000B2DC8">
        <w:rPr>
          <w:rFonts w:ascii="Times New Roman" w:hAnsi="Times New Roman" w:cs="Times New Roman"/>
          <w:sz w:val="24"/>
          <w:szCs w:val="24"/>
        </w:rPr>
        <w:t>D.Lgs.</w:t>
      </w:r>
      <w:proofErr w:type="spellEnd"/>
      <w:r w:rsidRPr="000B2DC8">
        <w:rPr>
          <w:rFonts w:ascii="Times New Roman" w:hAnsi="Times New Roman" w:cs="Times New Roman"/>
          <w:sz w:val="24"/>
          <w:szCs w:val="24"/>
        </w:rPr>
        <w:t xml:space="preserve"> 36/2023. L’intera procedura, deve essere documentata e tracciabile all’interno della piattaforma, garantendo la pubblicità degli atti e il monitoraggio delle fasi di acquisto. In conclusione, l’uso della PAD certificata in dotazione alla stazione appaltante può essere considerato equivalente all’uso del MEPA per l’affidamento diretto di servizi di importo inferiore a 140.000 euro, purché la PAD sia certificata e rispetti i requisiti imposti dall'art. 62 del </w:t>
      </w:r>
      <w:proofErr w:type="spellStart"/>
      <w:r w:rsidRPr="000B2DC8">
        <w:rPr>
          <w:rFonts w:ascii="Times New Roman" w:hAnsi="Times New Roman" w:cs="Times New Roman"/>
          <w:sz w:val="24"/>
          <w:szCs w:val="24"/>
        </w:rPr>
        <w:t>D.Lgs.</w:t>
      </w:r>
      <w:proofErr w:type="spellEnd"/>
      <w:r w:rsidRPr="000B2DC8">
        <w:rPr>
          <w:rFonts w:ascii="Times New Roman" w:hAnsi="Times New Roman" w:cs="Times New Roman"/>
          <w:sz w:val="24"/>
          <w:szCs w:val="24"/>
        </w:rPr>
        <w:t xml:space="preserve"> 36/2023. La stazione appaltante, quindi, ha la possibilità di scegliere tra l’utilizzo del MEPA o di una piattaforma alternativa certificata (come la PAD), fermo restando il rispetto dei principi di trasparenza, concorrenza e tracciabilità. E’ utile precisare che l’obbligo di ricorrere la MEPA quale mercato elettronico invece resta immutato ai sensi dell’art 1 comma 450 legge 296/2006, secondo periodo, per espressa previsione di legge per tutte le amministrazioni statali centrali e periferiche, ivi compresi gli istituti e le scuole di ogni ordine e grado, le istituzioni educative e le istituzioni universitarie, nonché gli enti nazionali di previdenza e assistenza sociale pubblici e le agenzie fiscali di cui al decreto legislativo 30 luglio 1999, n. 300. Come più volte ribadito da questo servizio il MEPA non rappresenta una procedura di selezione dell’operatore economico prevista dal codice degli appalti ma rappresenta invece uno strumento di acquisto per la PA che attua una procedura di selezione prevista dal codice appalti; a tal fine si rinvia alla definizione di cui all’art. 3 comma 1 cc n. 3 dell’allegato I.1 del Dlgs 36/23 il quale ricomprende </w:t>
      </w:r>
      <w:r w:rsidRPr="000B2DC8">
        <w:rPr>
          <w:rFonts w:ascii="Times New Roman" w:hAnsi="Times New Roman" w:cs="Times New Roman"/>
          <w:sz w:val="24"/>
          <w:szCs w:val="24"/>
        </w:rPr>
        <w:lastRenderedPageBreak/>
        <w:t>tra “gli strumenti di acquisto” anche “il mercato elettronico realizzato da centrale di committenza nel caso di acquisti effettuati a catalogo”.</w:t>
      </w:r>
    </w:p>
    <w:p w14:paraId="3AE0E763" w14:textId="77777777" w:rsidR="00656217" w:rsidRDefault="00656217" w:rsidP="00656217">
      <w:p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___________________  </w:t>
      </w:r>
    </w:p>
    <w:p w14:paraId="6119A5AB" w14:textId="77777777" w:rsidR="00656217" w:rsidRPr="00656217" w:rsidRDefault="00656217" w:rsidP="00656217">
      <w:pPr>
        <w:jc w:val="both"/>
        <w:rPr>
          <w:rFonts w:ascii="Times New Roman" w:hAnsi="Times New Roman" w:cs="Times New Roman"/>
          <w:b/>
          <w:bCs/>
          <w:sz w:val="24"/>
          <w:szCs w:val="24"/>
        </w:rPr>
      </w:pPr>
      <w:r w:rsidRPr="00656217">
        <w:rPr>
          <w:rFonts w:ascii="Times New Roman" w:hAnsi="Times New Roman" w:cs="Times New Roman"/>
          <w:b/>
          <w:bCs/>
          <w:sz w:val="24"/>
          <w:szCs w:val="24"/>
        </w:rPr>
        <w:t xml:space="preserve">Parere </w:t>
      </w:r>
      <w:proofErr w:type="spellStart"/>
      <w:r w:rsidRPr="00656217">
        <w:rPr>
          <w:rFonts w:ascii="Times New Roman" w:hAnsi="Times New Roman" w:cs="Times New Roman"/>
          <w:b/>
          <w:bCs/>
          <w:sz w:val="24"/>
          <w:szCs w:val="24"/>
        </w:rPr>
        <w:t>Mit</w:t>
      </w:r>
      <w:proofErr w:type="spellEnd"/>
      <w:r w:rsidRPr="00656217">
        <w:rPr>
          <w:rFonts w:ascii="Times New Roman" w:hAnsi="Times New Roman" w:cs="Times New Roman"/>
          <w:b/>
          <w:bCs/>
          <w:sz w:val="24"/>
          <w:szCs w:val="24"/>
        </w:rPr>
        <w:t>, 6.12.2024, n. 3153</w:t>
      </w:r>
    </w:p>
    <w:p w14:paraId="2FF56FC2" w14:textId="77777777" w:rsidR="00656217" w:rsidRPr="00656217" w:rsidRDefault="00656217" w:rsidP="00656217">
      <w:pPr>
        <w:jc w:val="both"/>
        <w:rPr>
          <w:rFonts w:ascii="Times New Roman" w:hAnsi="Times New Roman" w:cs="Times New Roman"/>
          <w:b/>
          <w:bCs/>
          <w:i/>
          <w:iCs/>
          <w:sz w:val="24"/>
          <w:szCs w:val="24"/>
        </w:rPr>
      </w:pPr>
      <w:r w:rsidRPr="00656217">
        <w:rPr>
          <w:rFonts w:ascii="Times New Roman" w:hAnsi="Times New Roman" w:cs="Times New Roman"/>
          <w:b/>
          <w:bCs/>
          <w:i/>
          <w:iCs/>
          <w:sz w:val="24"/>
          <w:szCs w:val="24"/>
        </w:rPr>
        <w:t>Sulle difficoltà a rinvenire operatori economici iscritti al PAD in caso di affidamenti di basso valore economico</w:t>
      </w:r>
    </w:p>
    <w:p w14:paraId="75CD28C2" w14:textId="77777777" w:rsidR="00656217" w:rsidRDefault="00656217" w:rsidP="00656217">
      <w:pPr>
        <w:jc w:val="both"/>
        <w:rPr>
          <w:rFonts w:ascii="Times New Roman" w:hAnsi="Times New Roman" w:cs="Times New Roman"/>
          <w:sz w:val="24"/>
          <w:szCs w:val="24"/>
        </w:rPr>
      </w:pPr>
      <w:r w:rsidRPr="00656217">
        <w:rPr>
          <w:rFonts w:ascii="Times New Roman" w:hAnsi="Times New Roman" w:cs="Times New Roman"/>
          <w:sz w:val="24"/>
          <w:szCs w:val="24"/>
        </w:rPr>
        <w:t xml:space="preserve">La scrivente SA ha riscontrato la materiale impossibilità, in determinate circostanze, di utilizzare le PAD per selezionare l'operatore economico. A titolo esemplificativo e non esaustivo: a) mancanza sulle piattaforme di un OE in grado di, ovvero disposto a, fornire il servizio/fornitura che si intende richiedere (ad esempio scuole di volo): b) mancanza di interesse da parte degli OOEE, attivati tramite richieste di preventivi/offerte, ad iscriversi ad alcuna piattaforma per finalizzare la procedura di approvvigionamento (ad esempio strutture ricettive per l'alloggiamento del personale, laboratori analisi); c) assenza sulle PAD degli OOEE titolari di diritti di esclusiva (ad esempio ditte di manutenzione ed assistenza). Ciò premesso, si chiede di poter acquisire un qualificato parere anche allo scopo di individuare possibili procedure alternative per l'acquisizione del CIG. </w:t>
      </w:r>
    </w:p>
    <w:p w14:paraId="5AA19F06" w14:textId="77777777" w:rsidR="00656217" w:rsidRPr="00656217" w:rsidRDefault="00656217" w:rsidP="00656217">
      <w:pPr>
        <w:jc w:val="both"/>
        <w:rPr>
          <w:rFonts w:ascii="Times New Roman" w:hAnsi="Times New Roman" w:cs="Times New Roman"/>
          <w:sz w:val="24"/>
          <w:szCs w:val="24"/>
        </w:rPr>
      </w:pPr>
      <w:r w:rsidRPr="00656217">
        <w:rPr>
          <w:rFonts w:ascii="Times New Roman" w:hAnsi="Times New Roman" w:cs="Times New Roman"/>
          <w:b/>
          <w:bCs/>
          <w:sz w:val="24"/>
          <w:szCs w:val="24"/>
        </w:rPr>
        <w:t>Risposta</w:t>
      </w:r>
      <w:r>
        <w:rPr>
          <w:rFonts w:ascii="Times New Roman" w:hAnsi="Times New Roman" w:cs="Times New Roman"/>
          <w:sz w:val="24"/>
          <w:szCs w:val="24"/>
        </w:rPr>
        <w:t xml:space="preserve">: </w:t>
      </w:r>
      <w:r w:rsidRPr="00656217">
        <w:rPr>
          <w:rFonts w:ascii="Times New Roman" w:hAnsi="Times New Roman" w:cs="Times New Roman"/>
          <w:sz w:val="24"/>
          <w:szCs w:val="24"/>
        </w:rPr>
        <w:t xml:space="preserve">Il </w:t>
      </w:r>
      <w:r w:rsidRPr="00656217">
        <w:rPr>
          <w:rFonts w:ascii="Times New Roman" w:hAnsi="Times New Roman" w:cs="Times New Roman"/>
          <w:b/>
          <w:bCs/>
          <w:sz w:val="24"/>
          <w:szCs w:val="24"/>
        </w:rPr>
        <w:t>CIG</w:t>
      </w:r>
      <w:r w:rsidRPr="00656217">
        <w:rPr>
          <w:rFonts w:ascii="Times New Roman" w:hAnsi="Times New Roman" w:cs="Times New Roman"/>
          <w:sz w:val="24"/>
          <w:szCs w:val="24"/>
        </w:rPr>
        <w:t xml:space="preserve"> è acquisibile </w:t>
      </w:r>
      <w:r w:rsidRPr="00656217">
        <w:rPr>
          <w:rFonts w:ascii="Times New Roman" w:hAnsi="Times New Roman" w:cs="Times New Roman"/>
          <w:b/>
          <w:bCs/>
          <w:sz w:val="24"/>
          <w:szCs w:val="24"/>
        </w:rPr>
        <w:t>solo mediante PAD.</w:t>
      </w:r>
      <w:r w:rsidRPr="00656217">
        <w:rPr>
          <w:rFonts w:ascii="Times New Roman" w:hAnsi="Times New Roman" w:cs="Times New Roman"/>
          <w:sz w:val="24"/>
          <w:szCs w:val="24"/>
        </w:rPr>
        <w:t xml:space="preserve"> Per importi inferiori a 5.000 (IVA esclusa) è possibile (sono al 31 dicembre 2024) l'utilizzo della piattaforma ANAC. </w:t>
      </w:r>
      <w:r w:rsidRPr="00656217">
        <w:rPr>
          <w:rFonts w:ascii="Times New Roman" w:hAnsi="Times New Roman" w:cs="Times New Roman"/>
          <w:b/>
          <w:bCs/>
          <w:sz w:val="24"/>
          <w:szCs w:val="24"/>
        </w:rPr>
        <w:t xml:space="preserve">Per le spese inferiori a 1.500 euro non è richiesto il CIG </w:t>
      </w:r>
      <w:r w:rsidRPr="00656217">
        <w:rPr>
          <w:rFonts w:ascii="Times New Roman" w:hAnsi="Times New Roman" w:cs="Times New Roman"/>
          <w:sz w:val="24"/>
          <w:szCs w:val="24"/>
        </w:rPr>
        <w:t xml:space="preserve">per </w:t>
      </w:r>
      <w:proofErr w:type="spellStart"/>
      <w:r w:rsidRPr="00656217">
        <w:rPr>
          <w:rFonts w:ascii="Times New Roman" w:hAnsi="Times New Roman" w:cs="Times New Roman"/>
          <w:sz w:val="24"/>
          <w:szCs w:val="24"/>
        </w:rPr>
        <w:t>l a</w:t>
      </w:r>
      <w:proofErr w:type="spellEnd"/>
      <w:r w:rsidRPr="00656217">
        <w:rPr>
          <w:rFonts w:ascii="Times New Roman" w:hAnsi="Times New Roman" w:cs="Times New Roman"/>
          <w:sz w:val="24"/>
          <w:szCs w:val="24"/>
        </w:rPr>
        <w:t xml:space="preserve"> tracciabilità, ove qualificate come spese economali da apposito regolamento interno.</w:t>
      </w:r>
    </w:p>
    <w:p w14:paraId="2DFD4941" w14:textId="77777777" w:rsidR="00656217" w:rsidRDefault="00656217" w:rsidP="00031E46">
      <w:pPr>
        <w:spacing w:after="0"/>
        <w:jc w:val="both"/>
        <w:rPr>
          <w:rFonts w:ascii="Times New Roman" w:hAnsi="Times New Roman" w:cs="Times New Roman"/>
          <w:b/>
          <w:bCs/>
          <w:sz w:val="24"/>
          <w:szCs w:val="24"/>
        </w:rPr>
      </w:pPr>
    </w:p>
    <w:p w14:paraId="73B22F12" w14:textId="77777777" w:rsidR="00031E46" w:rsidRDefault="00031E46" w:rsidP="00031E46">
      <w:pPr>
        <w:spacing w:after="0"/>
        <w:jc w:val="both"/>
        <w:rPr>
          <w:rFonts w:ascii="Times New Roman" w:hAnsi="Times New Roman" w:cs="Times New Roman"/>
          <w:b/>
          <w:bCs/>
          <w:sz w:val="24"/>
          <w:szCs w:val="24"/>
        </w:rPr>
      </w:pPr>
      <w:r w:rsidRPr="00AC31D1">
        <w:rPr>
          <w:rFonts w:ascii="Times New Roman" w:hAnsi="Times New Roman" w:cs="Times New Roman"/>
          <w:b/>
          <w:bCs/>
          <w:sz w:val="24"/>
          <w:szCs w:val="24"/>
        </w:rPr>
        <w:t>TAR Pescara, 07.12.2024 n. 365</w:t>
      </w:r>
      <w:r>
        <w:rPr>
          <w:rFonts w:ascii="Times New Roman" w:hAnsi="Times New Roman" w:cs="Times New Roman"/>
          <w:b/>
          <w:bCs/>
          <w:sz w:val="24"/>
          <w:szCs w:val="24"/>
        </w:rPr>
        <w:t xml:space="preserve"> - </w:t>
      </w:r>
      <w:r w:rsidRPr="00AC31D1">
        <w:rPr>
          <w:rFonts w:ascii="Times New Roman" w:hAnsi="Times New Roman" w:cs="Times New Roman"/>
          <w:b/>
          <w:bCs/>
          <w:sz w:val="24"/>
          <w:szCs w:val="24"/>
        </w:rPr>
        <w:t xml:space="preserve">TAR. </w:t>
      </w:r>
      <w:r>
        <w:rPr>
          <w:rFonts w:ascii="Times New Roman" w:hAnsi="Times New Roman" w:cs="Times New Roman"/>
          <w:b/>
          <w:bCs/>
          <w:sz w:val="24"/>
          <w:szCs w:val="24"/>
        </w:rPr>
        <w:t xml:space="preserve">Sicilia, </w:t>
      </w:r>
      <w:r w:rsidRPr="00AC31D1">
        <w:rPr>
          <w:rFonts w:ascii="Times New Roman" w:hAnsi="Times New Roman" w:cs="Times New Roman"/>
          <w:b/>
          <w:bCs/>
          <w:sz w:val="24"/>
          <w:szCs w:val="24"/>
        </w:rPr>
        <w:t>Catania n.1370/2024</w:t>
      </w:r>
    </w:p>
    <w:p w14:paraId="15C4A9B9" w14:textId="77777777" w:rsidR="00031E46" w:rsidRPr="00AC31D1" w:rsidRDefault="00031E46" w:rsidP="00031E46">
      <w:pPr>
        <w:spacing w:after="0"/>
        <w:jc w:val="both"/>
        <w:rPr>
          <w:rFonts w:ascii="Times New Roman" w:hAnsi="Times New Roman" w:cs="Times New Roman"/>
          <w:b/>
          <w:bCs/>
          <w:i/>
          <w:iCs/>
          <w:sz w:val="24"/>
          <w:szCs w:val="24"/>
        </w:rPr>
      </w:pPr>
      <w:r w:rsidRPr="00AC31D1">
        <w:rPr>
          <w:rFonts w:ascii="Times New Roman" w:hAnsi="Times New Roman" w:cs="Times New Roman"/>
          <w:b/>
          <w:bCs/>
          <w:i/>
          <w:iCs/>
          <w:sz w:val="24"/>
          <w:szCs w:val="24"/>
        </w:rPr>
        <w:t>Sulla deroga al principio di rotazione in caso di affidamento di servizi alla persona, previa motivazione</w:t>
      </w:r>
    </w:p>
    <w:p w14:paraId="34AFCC24" w14:textId="77777777" w:rsidR="00031E46" w:rsidRDefault="00031E46" w:rsidP="00031E46">
      <w:pPr>
        <w:spacing w:after="0"/>
        <w:jc w:val="both"/>
        <w:rPr>
          <w:rFonts w:ascii="Times New Roman" w:hAnsi="Times New Roman" w:cs="Times New Roman"/>
          <w:sz w:val="24"/>
          <w:szCs w:val="24"/>
        </w:rPr>
      </w:pPr>
      <w:r>
        <w:rPr>
          <w:rFonts w:ascii="Times New Roman" w:hAnsi="Times New Roman" w:cs="Times New Roman"/>
          <w:sz w:val="24"/>
          <w:szCs w:val="24"/>
        </w:rPr>
        <w:t>I</w:t>
      </w:r>
      <w:r w:rsidRPr="00AC31D1">
        <w:rPr>
          <w:rFonts w:ascii="Times New Roman" w:hAnsi="Times New Roman" w:cs="Times New Roman"/>
          <w:sz w:val="24"/>
          <w:szCs w:val="24"/>
        </w:rPr>
        <w:t xml:space="preserve">l principio di rotazione </w:t>
      </w:r>
      <w:r w:rsidRPr="00AC31D1">
        <w:rPr>
          <w:rFonts w:ascii="Times New Roman" w:hAnsi="Times New Roman" w:cs="Times New Roman"/>
          <w:b/>
          <w:bCs/>
          <w:sz w:val="24"/>
          <w:szCs w:val="24"/>
        </w:rPr>
        <w:t>trova comunque ingresso nella disciplina degli affidamenti inerenti ai servizi sociali sottosoglia a prescindere da un espresso richiamo</w:t>
      </w:r>
      <w:r w:rsidRPr="00AC31D1">
        <w:rPr>
          <w:rFonts w:ascii="Times New Roman" w:hAnsi="Times New Roman" w:cs="Times New Roman"/>
          <w:sz w:val="24"/>
          <w:szCs w:val="24"/>
        </w:rPr>
        <w:t xml:space="preserve"> in forza della previsione generale di cui all’art. 49, comma 1 del Codice, che non è stata espressamente derogata rispetto a tale tipologia di affidamenti. Qualora la volontà del Legislatore fosse stata quella di escludere l’applicazione del principio di rotazione agli affidamenti in questione, la disposizione di cui all’art. 128, comma 8 avrebbe dovuto essere formulata mediante una chiara ed espressa deroga al principio di rotazione come prescritto dal comma 4 dell’art. 48.</w:t>
      </w:r>
      <w:r w:rsidRPr="00AC31D1">
        <w:rPr>
          <w:rFonts w:ascii="Times New Roman" w:hAnsi="Times New Roman" w:cs="Times New Roman"/>
          <w:sz w:val="24"/>
          <w:szCs w:val="24"/>
        </w:rPr>
        <w:br/>
      </w:r>
      <w:r w:rsidRPr="00AC31D1">
        <w:rPr>
          <w:rFonts w:ascii="Times New Roman" w:hAnsi="Times New Roman" w:cs="Times New Roman"/>
          <w:b/>
          <w:bCs/>
          <w:sz w:val="24"/>
          <w:szCs w:val="24"/>
        </w:rPr>
        <w:t>Vero è, piuttosto, che gli affidamenti relativi ai servizi alla persona sottosoglia soggiacciono ad una regolamentazione composita</w:t>
      </w:r>
      <w:r w:rsidRPr="00AC31D1">
        <w:rPr>
          <w:rFonts w:ascii="Times New Roman" w:hAnsi="Times New Roman" w:cs="Times New Roman"/>
          <w:sz w:val="24"/>
          <w:szCs w:val="24"/>
        </w:rPr>
        <w:t xml:space="preserve"> come risultante dalla combinazione della disciplina di carattere generale, comprensiva anche del principio di rotazione, e di quella di carattere speciale, contenuta nell’art. 128 del Codice.</w:t>
      </w:r>
      <w:r w:rsidRPr="00AC31D1">
        <w:rPr>
          <w:rFonts w:ascii="Times New Roman" w:hAnsi="Times New Roman" w:cs="Times New Roman"/>
          <w:sz w:val="24"/>
          <w:szCs w:val="24"/>
        </w:rPr>
        <w:br/>
      </w:r>
      <w:r w:rsidRPr="00AC31D1">
        <w:rPr>
          <w:rFonts w:ascii="Times New Roman" w:hAnsi="Times New Roman" w:cs="Times New Roman"/>
          <w:b/>
          <w:bCs/>
          <w:sz w:val="24"/>
          <w:szCs w:val="24"/>
        </w:rPr>
        <w:t>Pertanto</w:t>
      </w:r>
      <w:r w:rsidRPr="00AC31D1">
        <w:rPr>
          <w:rFonts w:ascii="Times New Roman" w:hAnsi="Times New Roman" w:cs="Times New Roman"/>
          <w:sz w:val="24"/>
          <w:szCs w:val="24"/>
        </w:rPr>
        <w:t xml:space="preserve">, l’interpretazione logico-sistematica del comma 8 dell’art. 128 impone che </w:t>
      </w:r>
      <w:r w:rsidRPr="00AC31D1">
        <w:rPr>
          <w:rFonts w:ascii="Times New Roman" w:hAnsi="Times New Roman" w:cs="Times New Roman"/>
          <w:b/>
          <w:bCs/>
          <w:sz w:val="24"/>
          <w:szCs w:val="24"/>
        </w:rPr>
        <w:t>per l’affidamento e l’esecuzione di servizi alla persona di importo inferiore alla soglia europea, l’Amministrazione ben può derogare al principio generale di rotazione</w:t>
      </w:r>
      <w:r w:rsidRPr="00AC31D1">
        <w:rPr>
          <w:rFonts w:ascii="Times New Roman" w:hAnsi="Times New Roman" w:cs="Times New Roman"/>
          <w:sz w:val="24"/>
          <w:szCs w:val="24"/>
        </w:rPr>
        <w:t xml:space="preserve">, </w:t>
      </w:r>
      <w:r w:rsidRPr="00AC31D1">
        <w:rPr>
          <w:rFonts w:ascii="Times New Roman" w:hAnsi="Times New Roman" w:cs="Times New Roman"/>
          <w:b/>
          <w:bCs/>
          <w:sz w:val="24"/>
          <w:szCs w:val="24"/>
        </w:rPr>
        <w:t xml:space="preserve">previa adeguata motivazione, </w:t>
      </w:r>
      <w:r w:rsidRPr="00AC31D1">
        <w:rPr>
          <w:rFonts w:ascii="Times New Roman" w:hAnsi="Times New Roman" w:cs="Times New Roman"/>
          <w:sz w:val="24"/>
          <w:szCs w:val="24"/>
        </w:rPr>
        <w:t xml:space="preserve">al fine di osservare i principi e i criteri di cui al comma 3, ovvero “garantire la </w:t>
      </w:r>
      <w:r w:rsidRPr="00AC31D1">
        <w:rPr>
          <w:rFonts w:ascii="Times New Roman" w:hAnsi="Times New Roman" w:cs="Times New Roman"/>
          <w:b/>
          <w:bCs/>
          <w:sz w:val="24"/>
          <w:szCs w:val="24"/>
        </w:rPr>
        <w:t>qualità,</w:t>
      </w:r>
      <w:r w:rsidRPr="00AC31D1">
        <w:rPr>
          <w:rFonts w:ascii="Times New Roman" w:hAnsi="Times New Roman" w:cs="Times New Roman"/>
          <w:sz w:val="24"/>
          <w:szCs w:val="24"/>
        </w:rPr>
        <w:t xml:space="preserve"> la </w:t>
      </w:r>
      <w:r w:rsidRPr="00AC31D1">
        <w:rPr>
          <w:rFonts w:ascii="Times New Roman" w:hAnsi="Times New Roman" w:cs="Times New Roman"/>
          <w:b/>
          <w:bCs/>
          <w:sz w:val="24"/>
          <w:szCs w:val="24"/>
        </w:rPr>
        <w:t>continuità</w:t>
      </w:r>
      <w:r w:rsidRPr="00AC31D1">
        <w:rPr>
          <w:rFonts w:ascii="Times New Roman" w:hAnsi="Times New Roman" w:cs="Times New Roman"/>
          <w:sz w:val="24"/>
          <w:szCs w:val="24"/>
        </w:rPr>
        <w:t>, l’</w:t>
      </w:r>
      <w:r w:rsidRPr="00AC31D1">
        <w:rPr>
          <w:rFonts w:ascii="Times New Roman" w:hAnsi="Times New Roman" w:cs="Times New Roman"/>
          <w:b/>
          <w:bCs/>
          <w:sz w:val="24"/>
          <w:szCs w:val="24"/>
        </w:rPr>
        <w:t>accessibilit</w:t>
      </w:r>
      <w:r w:rsidRPr="00AC31D1">
        <w:rPr>
          <w:rFonts w:ascii="Times New Roman" w:hAnsi="Times New Roman" w:cs="Times New Roman"/>
          <w:sz w:val="24"/>
          <w:szCs w:val="24"/>
        </w:rPr>
        <w:t xml:space="preserve">à, la </w:t>
      </w:r>
      <w:r w:rsidRPr="00AC31D1">
        <w:rPr>
          <w:rFonts w:ascii="Times New Roman" w:hAnsi="Times New Roman" w:cs="Times New Roman"/>
          <w:b/>
          <w:bCs/>
          <w:sz w:val="24"/>
          <w:szCs w:val="24"/>
        </w:rPr>
        <w:t>disponibilità</w:t>
      </w:r>
      <w:r w:rsidRPr="00AC31D1">
        <w:rPr>
          <w:rFonts w:ascii="Times New Roman" w:hAnsi="Times New Roman" w:cs="Times New Roman"/>
          <w:sz w:val="24"/>
          <w:szCs w:val="24"/>
        </w:rPr>
        <w:t xml:space="preserve"> e la </w:t>
      </w:r>
      <w:r w:rsidRPr="00AC31D1">
        <w:rPr>
          <w:rFonts w:ascii="Times New Roman" w:hAnsi="Times New Roman" w:cs="Times New Roman"/>
          <w:b/>
          <w:bCs/>
          <w:sz w:val="24"/>
          <w:szCs w:val="24"/>
        </w:rPr>
        <w:t>completezza dei servizi</w:t>
      </w:r>
      <w:r w:rsidRPr="00AC31D1">
        <w:rPr>
          <w:rFonts w:ascii="Times New Roman" w:hAnsi="Times New Roman" w:cs="Times New Roman"/>
          <w:sz w:val="24"/>
          <w:szCs w:val="24"/>
        </w:rPr>
        <w:t xml:space="preserve">, tenendo conto delle </w:t>
      </w:r>
      <w:r w:rsidRPr="00AC31D1">
        <w:rPr>
          <w:rFonts w:ascii="Times New Roman" w:hAnsi="Times New Roman" w:cs="Times New Roman"/>
          <w:b/>
          <w:bCs/>
          <w:sz w:val="24"/>
          <w:szCs w:val="24"/>
        </w:rPr>
        <w:t>esigenze specifiche delle diverse categorie di utenti</w:t>
      </w:r>
      <w:r w:rsidRPr="00AC31D1">
        <w:rPr>
          <w:rFonts w:ascii="Times New Roman" w:hAnsi="Times New Roman" w:cs="Times New Roman"/>
          <w:sz w:val="24"/>
          <w:szCs w:val="24"/>
        </w:rPr>
        <w:t>, compresi i gruppi svantaggiati e promuovendo il coinvolgimento e la responsabilizzazione degli utenti”.</w:t>
      </w:r>
    </w:p>
    <w:p w14:paraId="573741D1" w14:textId="77777777" w:rsidR="00031E46" w:rsidRDefault="00031E46" w:rsidP="00031E46">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 </w:t>
      </w:r>
    </w:p>
    <w:p w14:paraId="7DE4C65D" w14:textId="77777777" w:rsidR="00031E46" w:rsidRDefault="00031E46" w:rsidP="00031E46">
      <w:pPr>
        <w:spacing w:after="0"/>
        <w:jc w:val="both"/>
        <w:rPr>
          <w:rFonts w:ascii="Times New Roman" w:hAnsi="Times New Roman" w:cs="Times New Roman"/>
          <w:sz w:val="24"/>
          <w:szCs w:val="24"/>
        </w:rPr>
      </w:pPr>
    </w:p>
    <w:p w14:paraId="4C9ADD03" w14:textId="77777777" w:rsidR="00031E46" w:rsidRPr="00AC31D1" w:rsidRDefault="00031E46" w:rsidP="00031E46">
      <w:pPr>
        <w:spacing w:after="0"/>
        <w:jc w:val="both"/>
        <w:rPr>
          <w:rFonts w:ascii="Times New Roman" w:hAnsi="Times New Roman" w:cs="Times New Roman"/>
          <w:b/>
          <w:bCs/>
          <w:sz w:val="24"/>
          <w:szCs w:val="24"/>
        </w:rPr>
      </w:pPr>
      <w:r w:rsidRPr="00AC31D1">
        <w:rPr>
          <w:rFonts w:ascii="Times New Roman" w:hAnsi="Times New Roman" w:cs="Times New Roman"/>
          <w:b/>
          <w:bCs/>
          <w:sz w:val="24"/>
          <w:szCs w:val="24"/>
        </w:rPr>
        <w:t>Tar Lazio, Roma, Sez. I, 7.02.2025, n. 2849</w:t>
      </w:r>
    </w:p>
    <w:p w14:paraId="6C1DA669" w14:textId="77777777" w:rsidR="00031E46" w:rsidRPr="00AC31D1" w:rsidRDefault="00031E46" w:rsidP="00031E46">
      <w:pPr>
        <w:spacing w:after="0"/>
        <w:jc w:val="both"/>
        <w:rPr>
          <w:rFonts w:ascii="Times New Roman" w:hAnsi="Times New Roman" w:cs="Times New Roman"/>
          <w:b/>
          <w:bCs/>
          <w:i/>
          <w:iCs/>
          <w:sz w:val="24"/>
          <w:szCs w:val="24"/>
        </w:rPr>
      </w:pPr>
      <w:r w:rsidRPr="00AC31D1">
        <w:rPr>
          <w:rFonts w:ascii="Times New Roman" w:hAnsi="Times New Roman" w:cs="Times New Roman"/>
          <w:b/>
          <w:bCs/>
          <w:i/>
          <w:iCs/>
          <w:sz w:val="24"/>
          <w:szCs w:val="24"/>
        </w:rPr>
        <w:lastRenderedPageBreak/>
        <w:t>Sull’elusione del principio di rotazione, mediante affidamenti extra contratto</w:t>
      </w:r>
    </w:p>
    <w:p w14:paraId="488600AE" w14:textId="77777777" w:rsidR="00031E46" w:rsidRPr="00AC31D1" w:rsidRDefault="00031E46" w:rsidP="00031E46">
      <w:pPr>
        <w:spacing w:after="0"/>
        <w:jc w:val="both"/>
        <w:rPr>
          <w:rFonts w:ascii="Times New Roman" w:hAnsi="Times New Roman" w:cs="Times New Roman"/>
          <w:b/>
          <w:bCs/>
          <w:sz w:val="24"/>
          <w:szCs w:val="24"/>
        </w:rPr>
      </w:pPr>
      <w:r w:rsidRPr="00AC31D1">
        <w:rPr>
          <w:rFonts w:ascii="Times New Roman" w:hAnsi="Times New Roman" w:cs="Times New Roman"/>
          <w:sz w:val="24"/>
          <w:szCs w:val="24"/>
        </w:rPr>
        <w:t xml:space="preserve">Con riferimento, poi, alla contestata </w:t>
      </w:r>
      <w:r w:rsidRPr="00AC31D1">
        <w:rPr>
          <w:rFonts w:ascii="Times New Roman" w:hAnsi="Times New Roman" w:cs="Times New Roman"/>
          <w:b/>
          <w:bCs/>
          <w:sz w:val="24"/>
          <w:szCs w:val="24"/>
        </w:rPr>
        <w:t>violazione del principio di rotazione degli affidamenti</w:t>
      </w:r>
      <w:r w:rsidRPr="00AC31D1">
        <w:rPr>
          <w:rFonts w:ascii="Times New Roman" w:hAnsi="Times New Roman" w:cs="Times New Roman"/>
          <w:sz w:val="24"/>
          <w:szCs w:val="24"/>
        </w:rPr>
        <w:t>, non appaiono convincenti le deduzioni difensive dei ricorrenti, secondo cui tali lavori sarebbero stati affidati “</w:t>
      </w:r>
      <w:r w:rsidRPr="00AC31D1">
        <w:rPr>
          <w:rFonts w:ascii="Times New Roman" w:hAnsi="Times New Roman" w:cs="Times New Roman"/>
          <w:b/>
          <w:bCs/>
          <w:sz w:val="24"/>
          <w:szCs w:val="24"/>
        </w:rPr>
        <w:t>a monte” a mezzo di gare aperte, nelle quali però il capitolato speciale</w:t>
      </w:r>
      <w:r w:rsidRPr="00AC31D1">
        <w:rPr>
          <w:rFonts w:ascii="Times New Roman" w:hAnsi="Times New Roman" w:cs="Times New Roman"/>
          <w:sz w:val="24"/>
          <w:szCs w:val="24"/>
        </w:rPr>
        <w:t xml:space="preserve">, oltre ai lavori ordinari e straordinari che prevedevano la corresponsione di un canone fisso mensile, </w:t>
      </w:r>
      <w:r w:rsidRPr="00AC31D1">
        <w:rPr>
          <w:rFonts w:ascii="Times New Roman" w:hAnsi="Times New Roman" w:cs="Times New Roman"/>
          <w:b/>
          <w:bCs/>
          <w:sz w:val="24"/>
          <w:szCs w:val="24"/>
        </w:rPr>
        <w:t>contemplava anche la possibilità di affidare direttamente lavori extra-contratto.</w:t>
      </w:r>
    </w:p>
    <w:p w14:paraId="57D4FAD6" w14:textId="77777777" w:rsidR="00031E46" w:rsidRPr="00AC31D1" w:rsidRDefault="00031E46" w:rsidP="00031E46">
      <w:pPr>
        <w:spacing w:after="0"/>
        <w:jc w:val="both"/>
        <w:rPr>
          <w:rFonts w:ascii="Times New Roman" w:hAnsi="Times New Roman" w:cs="Times New Roman"/>
          <w:b/>
          <w:bCs/>
          <w:sz w:val="24"/>
          <w:szCs w:val="24"/>
        </w:rPr>
      </w:pPr>
      <w:r w:rsidRPr="00AC31D1">
        <w:rPr>
          <w:rFonts w:ascii="Times New Roman" w:hAnsi="Times New Roman" w:cs="Times New Roman"/>
          <w:sz w:val="24"/>
          <w:szCs w:val="24"/>
        </w:rPr>
        <w:t xml:space="preserve">Il </w:t>
      </w:r>
      <w:r w:rsidRPr="00AC31D1">
        <w:rPr>
          <w:rFonts w:ascii="Times New Roman" w:hAnsi="Times New Roman" w:cs="Times New Roman"/>
          <w:b/>
          <w:bCs/>
          <w:sz w:val="24"/>
          <w:szCs w:val="24"/>
        </w:rPr>
        <w:t>numero rilevante</w:t>
      </w:r>
      <w:r w:rsidRPr="00AC31D1">
        <w:rPr>
          <w:rFonts w:ascii="Times New Roman" w:hAnsi="Times New Roman" w:cs="Times New Roman"/>
          <w:sz w:val="24"/>
          <w:szCs w:val="24"/>
        </w:rPr>
        <w:t xml:space="preserve"> di tali affidamenti “extra-contratto”, così come </w:t>
      </w:r>
      <w:r w:rsidRPr="00AC31D1">
        <w:rPr>
          <w:rFonts w:ascii="Times New Roman" w:hAnsi="Times New Roman" w:cs="Times New Roman"/>
          <w:b/>
          <w:bCs/>
          <w:sz w:val="24"/>
          <w:szCs w:val="24"/>
        </w:rPr>
        <w:t>l’ingente corrispettivo pagato</w:t>
      </w:r>
      <w:r w:rsidRPr="00AC31D1">
        <w:rPr>
          <w:rFonts w:ascii="Times New Roman" w:hAnsi="Times New Roman" w:cs="Times New Roman"/>
          <w:sz w:val="24"/>
          <w:szCs w:val="24"/>
        </w:rPr>
        <w:t xml:space="preserve"> per essi, infatti, non preclude di ritenere che tale meccanismo sia stato appositamente strutturato per </w:t>
      </w:r>
      <w:r w:rsidRPr="00AC31D1">
        <w:rPr>
          <w:rFonts w:ascii="Times New Roman" w:hAnsi="Times New Roman" w:cs="Times New Roman"/>
          <w:b/>
          <w:bCs/>
          <w:sz w:val="24"/>
          <w:szCs w:val="24"/>
        </w:rPr>
        <w:t xml:space="preserve">eludere l’applicazione del principio di rotazione al fine di favorire imprese </w:t>
      </w:r>
      <w:proofErr w:type="spellStart"/>
      <w:r w:rsidRPr="00AC31D1">
        <w:rPr>
          <w:rFonts w:ascii="Times New Roman" w:hAnsi="Times New Roman" w:cs="Times New Roman"/>
          <w:b/>
          <w:bCs/>
          <w:sz w:val="24"/>
          <w:szCs w:val="24"/>
        </w:rPr>
        <w:t>intranee</w:t>
      </w:r>
      <w:proofErr w:type="spellEnd"/>
      <w:r w:rsidRPr="00AC31D1">
        <w:rPr>
          <w:rFonts w:ascii="Times New Roman" w:hAnsi="Times New Roman" w:cs="Times New Roman"/>
          <w:b/>
          <w:bCs/>
          <w:sz w:val="24"/>
          <w:szCs w:val="24"/>
        </w:rPr>
        <w:t xml:space="preserve"> alla criminalità organizzata.</w:t>
      </w:r>
    </w:p>
    <w:p w14:paraId="4DF1C4A2" w14:textId="769F4CA5" w:rsidR="009F221E" w:rsidRDefault="00031E46" w:rsidP="00671497">
      <w:p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_____________________________ </w:t>
      </w:r>
    </w:p>
    <w:p w14:paraId="3493F659" w14:textId="77777777" w:rsidR="000B2DC8" w:rsidRPr="000B2DC8" w:rsidRDefault="000B2DC8" w:rsidP="000B2DC8">
      <w:pPr>
        <w:jc w:val="both"/>
        <w:rPr>
          <w:rFonts w:ascii="Times New Roman" w:hAnsi="Times New Roman" w:cs="Times New Roman"/>
          <w:b/>
          <w:bCs/>
          <w:sz w:val="24"/>
          <w:szCs w:val="24"/>
        </w:rPr>
      </w:pPr>
      <w:r w:rsidRPr="000B2DC8">
        <w:rPr>
          <w:rFonts w:ascii="Times New Roman" w:hAnsi="Times New Roman" w:cs="Times New Roman"/>
          <w:b/>
          <w:bCs/>
          <w:sz w:val="24"/>
          <w:szCs w:val="24"/>
        </w:rPr>
        <w:t>Parere MIT, 30.01.2025, n. 3261</w:t>
      </w:r>
    </w:p>
    <w:p w14:paraId="2B5E8FF9" w14:textId="77777777" w:rsidR="000B2DC8" w:rsidRPr="000B2DC8" w:rsidRDefault="000B2DC8" w:rsidP="000B2DC8">
      <w:pPr>
        <w:jc w:val="both"/>
        <w:rPr>
          <w:rFonts w:ascii="Times New Roman" w:hAnsi="Times New Roman" w:cs="Times New Roman"/>
          <w:b/>
          <w:bCs/>
          <w:i/>
          <w:iCs/>
          <w:sz w:val="24"/>
          <w:szCs w:val="24"/>
        </w:rPr>
      </w:pPr>
      <w:r w:rsidRPr="000B2DC8">
        <w:rPr>
          <w:rFonts w:ascii="Times New Roman" w:hAnsi="Times New Roman" w:cs="Times New Roman"/>
          <w:b/>
          <w:bCs/>
          <w:i/>
          <w:iCs/>
          <w:sz w:val="24"/>
          <w:szCs w:val="24"/>
        </w:rPr>
        <w:t>Sulla rotazione in caso di subappalto</w:t>
      </w:r>
    </w:p>
    <w:p w14:paraId="65C5FC8D" w14:textId="77777777" w:rsidR="000B2DC8" w:rsidRDefault="000B2DC8" w:rsidP="000B2DC8">
      <w:pPr>
        <w:jc w:val="both"/>
        <w:rPr>
          <w:rFonts w:ascii="Times New Roman" w:hAnsi="Times New Roman" w:cs="Times New Roman"/>
          <w:sz w:val="24"/>
          <w:szCs w:val="24"/>
        </w:rPr>
      </w:pPr>
      <w:r w:rsidRPr="00DC3244">
        <w:rPr>
          <w:rFonts w:ascii="Times New Roman" w:hAnsi="Times New Roman" w:cs="Times New Roman"/>
          <w:sz w:val="24"/>
          <w:szCs w:val="24"/>
        </w:rPr>
        <w:t>Si chiede se, in un affidamento diretto di lavori, possa essere autorizzato il subappalto a ditta già affidataria in precedenza di appalto analogo (stessa categoria di opere) in affidamento diretto.</w:t>
      </w:r>
    </w:p>
    <w:p w14:paraId="777696CB" w14:textId="77777777" w:rsidR="000B2DC8" w:rsidRPr="00DC3244" w:rsidRDefault="000B2DC8" w:rsidP="000B2DC8">
      <w:pPr>
        <w:jc w:val="both"/>
        <w:rPr>
          <w:rFonts w:ascii="Times New Roman" w:hAnsi="Times New Roman" w:cs="Times New Roman"/>
          <w:sz w:val="24"/>
          <w:szCs w:val="24"/>
        </w:rPr>
      </w:pPr>
      <w:r>
        <w:rPr>
          <w:rFonts w:ascii="Times New Roman" w:hAnsi="Times New Roman" w:cs="Times New Roman"/>
          <w:sz w:val="24"/>
          <w:szCs w:val="24"/>
        </w:rPr>
        <w:t>RISPOSTA: L</w:t>
      </w:r>
      <w:r w:rsidRPr="000B2DC8">
        <w:rPr>
          <w:rFonts w:ascii="Times New Roman" w:hAnsi="Times New Roman" w:cs="Times New Roman"/>
          <w:sz w:val="24"/>
          <w:szCs w:val="24"/>
        </w:rPr>
        <w:t xml:space="preserve">a Stazione appaltante non ha il potere di sindacare la scelta dell'appaltatore in merito all'impresa subappaltatrice oltre a quanto previsto dall'art. 119 del Codice dei contratti pubblici. Nell'art. 119 cit. </w:t>
      </w:r>
      <w:r w:rsidRPr="0032267B">
        <w:rPr>
          <w:rFonts w:ascii="Times New Roman" w:hAnsi="Times New Roman" w:cs="Times New Roman"/>
          <w:b/>
          <w:bCs/>
          <w:sz w:val="24"/>
          <w:szCs w:val="24"/>
        </w:rPr>
        <w:t>non vi è alcun limite o divieto</w:t>
      </w:r>
      <w:r w:rsidRPr="000B2DC8">
        <w:rPr>
          <w:rFonts w:ascii="Times New Roman" w:hAnsi="Times New Roman" w:cs="Times New Roman"/>
          <w:sz w:val="24"/>
          <w:szCs w:val="24"/>
        </w:rPr>
        <w:t xml:space="preserve"> nel caso in cui un subappaltatore </w:t>
      </w:r>
      <w:r w:rsidRPr="0032267B">
        <w:rPr>
          <w:rFonts w:ascii="Times New Roman" w:hAnsi="Times New Roman" w:cs="Times New Roman"/>
          <w:b/>
          <w:bCs/>
          <w:sz w:val="24"/>
          <w:szCs w:val="24"/>
        </w:rPr>
        <w:t>sia stato previamente appaltatore della stazione appaltante</w:t>
      </w:r>
      <w:r w:rsidRPr="000B2DC8">
        <w:rPr>
          <w:rFonts w:ascii="Times New Roman" w:hAnsi="Times New Roman" w:cs="Times New Roman"/>
          <w:sz w:val="24"/>
          <w:szCs w:val="24"/>
        </w:rPr>
        <w:t>.</w:t>
      </w:r>
    </w:p>
    <w:p w14:paraId="0AF6AE93" w14:textId="12692B73" w:rsidR="000B2DC8" w:rsidRDefault="000B2DC8" w:rsidP="00671497">
      <w:p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_________________________ </w:t>
      </w:r>
    </w:p>
    <w:p w14:paraId="2D0EEF71" w14:textId="77777777" w:rsidR="002E458B" w:rsidRPr="0064449F" w:rsidRDefault="002E458B" w:rsidP="002E458B">
      <w:pPr>
        <w:spacing w:after="0" w:line="240" w:lineRule="auto"/>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ACCORDO QUADRO – ART. 59</w:t>
      </w:r>
    </w:p>
    <w:p w14:paraId="31047C59" w14:textId="77777777" w:rsidR="002E458B" w:rsidRDefault="002E458B" w:rsidP="002E458B">
      <w:pPr>
        <w:spacing w:after="0" w:line="240" w:lineRule="auto"/>
        <w:jc w:val="both"/>
        <w:rPr>
          <w:rFonts w:ascii="Times New Roman" w:hAnsi="Times New Roman" w:cs="Times New Roman"/>
          <w:b/>
          <w:bCs/>
          <w:sz w:val="24"/>
          <w:szCs w:val="24"/>
        </w:rPr>
      </w:pPr>
    </w:p>
    <w:p w14:paraId="142321F3" w14:textId="77777777" w:rsidR="002E458B" w:rsidRDefault="002E458B" w:rsidP="002E458B">
      <w:pPr>
        <w:spacing w:after="0" w:line="240" w:lineRule="auto"/>
        <w:jc w:val="both"/>
        <w:rPr>
          <w:rFonts w:ascii="Times New Roman" w:hAnsi="Times New Roman" w:cs="Times New Roman"/>
          <w:b/>
          <w:bCs/>
          <w:sz w:val="24"/>
          <w:szCs w:val="24"/>
        </w:rPr>
      </w:pPr>
      <w:r w:rsidRPr="0064449F">
        <w:rPr>
          <w:rFonts w:ascii="Times New Roman" w:hAnsi="Times New Roman" w:cs="Times New Roman"/>
          <w:b/>
          <w:bCs/>
          <w:sz w:val="24"/>
          <w:szCs w:val="24"/>
        </w:rPr>
        <w:t xml:space="preserve">Comunicato </w:t>
      </w:r>
      <w:r>
        <w:rPr>
          <w:rFonts w:ascii="Times New Roman" w:hAnsi="Times New Roman" w:cs="Times New Roman"/>
          <w:b/>
          <w:bCs/>
          <w:sz w:val="24"/>
          <w:szCs w:val="24"/>
        </w:rPr>
        <w:t xml:space="preserve">Anac </w:t>
      </w:r>
      <w:r w:rsidRPr="0064449F">
        <w:rPr>
          <w:rFonts w:ascii="Times New Roman" w:hAnsi="Times New Roman" w:cs="Times New Roman"/>
          <w:b/>
          <w:bCs/>
          <w:sz w:val="24"/>
          <w:szCs w:val="24"/>
        </w:rPr>
        <w:t>del 5 giugno 2024</w:t>
      </w:r>
    </w:p>
    <w:p w14:paraId="22DA22EC" w14:textId="77777777" w:rsidR="002E458B" w:rsidRPr="0064449F" w:rsidRDefault="002E458B" w:rsidP="002E458B">
      <w:pPr>
        <w:spacing w:after="0" w:line="240" w:lineRule="auto"/>
        <w:jc w:val="both"/>
        <w:rPr>
          <w:rFonts w:ascii="Times New Roman" w:hAnsi="Times New Roman" w:cs="Times New Roman"/>
          <w:b/>
          <w:bCs/>
          <w:sz w:val="24"/>
          <w:szCs w:val="24"/>
        </w:rPr>
      </w:pPr>
      <w:r w:rsidRPr="0064449F">
        <w:rPr>
          <w:rFonts w:ascii="Times New Roman" w:hAnsi="Times New Roman" w:cs="Times New Roman"/>
          <w:b/>
          <w:bCs/>
          <w:sz w:val="24"/>
          <w:szCs w:val="24"/>
        </w:rPr>
        <w:t>Sull’affidamento diretto in caso di accordo quadro</w:t>
      </w:r>
    </w:p>
    <w:p w14:paraId="257A81B1" w14:textId="77777777" w:rsidR="002E458B" w:rsidRPr="0064449F" w:rsidRDefault="002E458B" w:rsidP="002E458B">
      <w:pPr>
        <w:spacing w:after="0" w:line="240" w:lineRule="auto"/>
        <w:jc w:val="both"/>
        <w:rPr>
          <w:rFonts w:ascii="Times New Roman" w:hAnsi="Times New Roman" w:cs="Times New Roman"/>
          <w:sz w:val="24"/>
          <w:szCs w:val="24"/>
        </w:rPr>
      </w:pPr>
      <w:r w:rsidRPr="0064449F">
        <w:rPr>
          <w:rFonts w:ascii="Times New Roman" w:hAnsi="Times New Roman" w:cs="Times New Roman"/>
          <w:sz w:val="24"/>
          <w:szCs w:val="24"/>
        </w:rPr>
        <w:t>L’Autorità ha più volte riscontrato un’applicazione distorta dell’accordo quadro spesso</w:t>
      </w:r>
      <w:r>
        <w:rPr>
          <w:rFonts w:ascii="Times New Roman" w:hAnsi="Times New Roman" w:cs="Times New Roman"/>
          <w:sz w:val="24"/>
          <w:szCs w:val="24"/>
        </w:rPr>
        <w:t xml:space="preserve"> </w:t>
      </w:r>
      <w:r w:rsidRPr="0064449F">
        <w:rPr>
          <w:rFonts w:ascii="Times New Roman" w:hAnsi="Times New Roman" w:cs="Times New Roman"/>
          <w:sz w:val="24"/>
          <w:szCs w:val="24"/>
        </w:rPr>
        <w:t>utilizzato anche per attività non standardizzabili e prive di qualunque progettualità, da qui</w:t>
      </w:r>
      <w:r>
        <w:rPr>
          <w:rFonts w:ascii="Times New Roman" w:hAnsi="Times New Roman" w:cs="Times New Roman"/>
          <w:sz w:val="24"/>
          <w:szCs w:val="24"/>
        </w:rPr>
        <w:t xml:space="preserve"> </w:t>
      </w:r>
      <w:r w:rsidRPr="0064449F">
        <w:rPr>
          <w:rFonts w:ascii="Times New Roman" w:hAnsi="Times New Roman" w:cs="Times New Roman"/>
          <w:sz w:val="24"/>
          <w:szCs w:val="24"/>
        </w:rPr>
        <w:t xml:space="preserve">l’esigenza di ribadire, come già evidenziato nelle relative FAQ, che </w:t>
      </w:r>
      <w:r w:rsidRPr="0064449F">
        <w:rPr>
          <w:rFonts w:ascii="Times New Roman" w:hAnsi="Times New Roman" w:cs="Times New Roman"/>
          <w:b/>
          <w:bCs/>
          <w:sz w:val="24"/>
          <w:szCs w:val="24"/>
        </w:rPr>
        <w:t>le prestazioni oggetto dell’accordo devono essere identificate con compiutezza</w:t>
      </w:r>
      <w:r w:rsidRPr="0064449F">
        <w:rPr>
          <w:rFonts w:ascii="Times New Roman" w:hAnsi="Times New Roman" w:cs="Times New Roman"/>
          <w:sz w:val="24"/>
          <w:szCs w:val="24"/>
        </w:rPr>
        <w:t xml:space="preserve">. I </w:t>
      </w:r>
      <w:r w:rsidRPr="0064449F">
        <w:rPr>
          <w:rFonts w:ascii="Times New Roman" w:hAnsi="Times New Roman" w:cs="Times New Roman"/>
          <w:b/>
          <w:bCs/>
          <w:sz w:val="24"/>
          <w:szCs w:val="24"/>
        </w:rPr>
        <w:t>contratti attuativi non</w:t>
      </w:r>
      <w:r w:rsidRPr="0064449F">
        <w:rPr>
          <w:rFonts w:ascii="Times New Roman" w:hAnsi="Times New Roman" w:cs="Times New Roman"/>
          <w:sz w:val="24"/>
          <w:szCs w:val="24"/>
        </w:rPr>
        <w:t xml:space="preserve"> possono,</w:t>
      </w:r>
      <w:r>
        <w:rPr>
          <w:rFonts w:ascii="Times New Roman" w:hAnsi="Times New Roman" w:cs="Times New Roman"/>
          <w:sz w:val="24"/>
          <w:szCs w:val="24"/>
        </w:rPr>
        <w:t xml:space="preserve"> </w:t>
      </w:r>
      <w:r w:rsidRPr="0064449F">
        <w:rPr>
          <w:rFonts w:ascii="Times New Roman" w:hAnsi="Times New Roman" w:cs="Times New Roman"/>
          <w:sz w:val="24"/>
          <w:szCs w:val="24"/>
        </w:rPr>
        <w:t xml:space="preserve">infatti, </w:t>
      </w:r>
      <w:r w:rsidRPr="0064449F">
        <w:rPr>
          <w:rFonts w:ascii="Times New Roman" w:hAnsi="Times New Roman" w:cs="Times New Roman"/>
          <w:b/>
          <w:bCs/>
          <w:sz w:val="24"/>
          <w:szCs w:val="24"/>
        </w:rPr>
        <w:t>apportare modifiche tali da alterare la natura generale dell’accordo quadro</w:t>
      </w:r>
      <w:r w:rsidRPr="0064449F">
        <w:rPr>
          <w:rFonts w:ascii="Times New Roman" w:hAnsi="Times New Roman" w:cs="Times New Roman"/>
          <w:sz w:val="24"/>
          <w:szCs w:val="24"/>
        </w:rPr>
        <w:t>, dovendo</w:t>
      </w:r>
      <w:r>
        <w:rPr>
          <w:rFonts w:ascii="Times New Roman" w:hAnsi="Times New Roman" w:cs="Times New Roman"/>
          <w:sz w:val="24"/>
          <w:szCs w:val="24"/>
        </w:rPr>
        <w:t xml:space="preserve"> </w:t>
      </w:r>
      <w:r w:rsidRPr="0064449F">
        <w:rPr>
          <w:rFonts w:ascii="Times New Roman" w:hAnsi="Times New Roman" w:cs="Times New Roman"/>
          <w:sz w:val="24"/>
          <w:szCs w:val="24"/>
        </w:rPr>
        <w:t>restare immutati gli elementi essenziali in esso descritti, con sufficiente precisione, nelle</w:t>
      </w:r>
      <w:r>
        <w:rPr>
          <w:rFonts w:ascii="Times New Roman" w:hAnsi="Times New Roman" w:cs="Times New Roman"/>
          <w:sz w:val="24"/>
          <w:szCs w:val="24"/>
        </w:rPr>
        <w:t xml:space="preserve"> </w:t>
      </w:r>
      <w:r w:rsidRPr="0064449F">
        <w:rPr>
          <w:rFonts w:ascii="Times New Roman" w:hAnsi="Times New Roman" w:cs="Times New Roman"/>
          <w:sz w:val="24"/>
          <w:szCs w:val="24"/>
        </w:rPr>
        <w:t>specifiche tecniche/progettuali.</w:t>
      </w:r>
    </w:p>
    <w:p w14:paraId="67CE217D" w14:textId="77777777" w:rsidR="002E458B" w:rsidRPr="0064449F" w:rsidRDefault="002E458B" w:rsidP="002E458B">
      <w:pPr>
        <w:spacing w:after="0" w:line="240" w:lineRule="auto"/>
        <w:jc w:val="both"/>
        <w:rPr>
          <w:rFonts w:ascii="Times New Roman" w:hAnsi="Times New Roman" w:cs="Times New Roman"/>
          <w:sz w:val="24"/>
          <w:szCs w:val="24"/>
        </w:rPr>
      </w:pPr>
      <w:r w:rsidRPr="0064449F">
        <w:rPr>
          <w:rFonts w:ascii="Times New Roman" w:hAnsi="Times New Roman" w:cs="Times New Roman"/>
          <w:sz w:val="24"/>
          <w:szCs w:val="24"/>
        </w:rPr>
        <w:t xml:space="preserve">Un corretto ricorso a tale strumento contrattuale deve, inoltre, prevedere uno </w:t>
      </w:r>
      <w:r w:rsidRPr="0064449F">
        <w:rPr>
          <w:rFonts w:ascii="Times New Roman" w:hAnsi="Times New Roman" w:cs="Times New Roman"/>
          <w:b/>
          <w:bCs/>
          <w:sz w:val="24"/>
          <w:szCs w:val="24"/>
        </w:rPr>
        <w:t>stretto legame tra quest’ultimo e gli strumenti di pianificazione e programmazione</w:t>
      </w:r>
      <w:r w:rsidRPr="0064449F">
        <w:rPr>
          <w:rFonts w:ascii="Times New Roman" w:hAnsi="Times New Roman" w:cs="Times New Roman"/>
          <w:sz w:val="24"/>
          <w:szCs w:val="24"/>
        </w:rPr>
        <w:t xml:space="preserve"> e non può, al contrario,</w:t>
      </w:r>
      <w:r>
        <w:rPr>
          <w:rFonts w:ascii="Times New Roman" w:hAnsi="Times New Roman" w:cs="Times New Roman"/>
          <w:sz w:val="24"/>
          <w:szCs w:val="24"/>
        </w:rPr>
        <w:t xml:space="preserve"> </w:t>
      </w:r>
      <w:r w:rsidRPr="0064449F">
        <w:rPr>
          <w:rFonts w:ascii="Times New Roman" w:hAnsi="Times New Roman" w:cs="Times New Roman"/>
          <w:sz w:val="24"/>
          <w:szCs w:val="24"/>
        </w:rPr>
        <w:t>come talvolta riscontrato, sopperire ad una sostanziale incapacità programmatica delle</w:t>
      </w:r>
      <w:r>
        <w:rPr>
          <w:rFonts w:ascii="Times New Roman" w:hAnsi="Times New Roman" w:cs="Times New Roman"/>
          <w:sz w:val="24"/>
          <w:szCs w:val="24"/>
        </w:rPr>
        <w:t xml:space="preserve"> </w:t>
      </w:r>
      <w:r w:rsidRPr="0064449F">
        <w:rPr>
          <w:rFonts w:ascii="Times New Roman" w:hAnsi="Times New Roman" w:cs="Times New Roman"/>
          <w:sz w:val="24"/>
          <w:szCs w:val="24"/>
        </w:rPr>
        <w:t>stazioni appaltanti.</w:t>
      </w:r>
    </w:p>
    <w:p w14:paraId="69E7AF78" w14:textId="77777777" w:rsidR="002E458B" w:rsidRPr="0064449F" w:rsidRDefault="002E458B" w:rsidP="002E458B">
      <w:pPr>
        <w:spacing w:after="0" w:line="240" w:lineRule="auto"/>
        <w:jc w:val="both"/>
        <w:rPr>
          <w:rFonts w:ascii="Times New Roman" w:hAnsi="Times New Roman" w:cs="Times New Roman"/>
          <w:sz w:val="24"/>
          <w:szCs w:val="24"/>
        </w:rPr>
      </w:pPr>
      <w:r w:rsidRPr="0064449F">
        <w:rPr>
          <w:rFonts w:ascii="Times New Roman" w:hAnsi="Times New Roman" w:cs="Times New Roman"/>
          <w:sz w:val="24"/>
          <w:szCs w:val="24"/>
        </w:rPr>
        <w:t>Nel caso di affidamento diretto di un accordo quadro oltre al ricorrere di tali presupposti</w:t>
      </w:r>
      <w:r>
        <w:rPr>
          <w:rFonts w:ascii="Times New Roman" w:hAnsi="Times New Roman" w:cs="Times New Roman"/>
          <w:sz w:val="24"/>
          <w:szCs w:val="24"/>
        </w:rPr>
        <w:t xml:space="preserve"> </w:t>
      </w:r>
      <w:r w:rsidRPr="0064449F">
        <w:rPr>
          <w:rFonts w:ascii="Times New Roman" w:hAnsi="Times New Roman" w:cs="Times New Roman"/>
          <w:sz w:val="24"/>
          <w:szCs w:val="24"/>
        </w:rPr>
        <w:t>essenziali la stazione appaltante sarà tenuta al rispetto di ulteriori condizioni affinché</w:t>
      </w:r>
      <w:r>
        <w:rPr>
          <w:rFonts w:ascii="Times New Roman" w:hAnsi="Times New Roman" w:cs="Times New Roman"/>
          <w:sz w:val="24"/>
          <w:szCs w:val="24"/>
        </w:rPr>
        <w:t xml:space="preserve"> </w:t>
      </w:r>
      <w:r w:rsidRPr="0064449F">
        <w:rPr>
          <w:rFonts w:ascii="Times New Roman" w:hAnsi="Times New Roman" w:cs="Times New Roman"/>
          <w:sz w:val="24"/>
          <w:szCs w:val="24"/>
        </w:rPr>
        <w:t>l’utilizzo di siffatto strumento non comporti la possibile elusione delle disposizioni del</w:t>
      </w:r>
      <w:r>
        <w:rPr>
          <w:rFonts w:ascii="Times New Roman" w:hAnsi="Times New Roman" w:cs="Times New Roman"/>
          <w:sz w:val="24"/>
          <w:szCs w:val="24"/>
        </w:rPr>
        <w:t xml:space="preserve"> </w:t>
      </w:r>
      <w:r w:rsidRPr="0064449F">
        <w:rPr>
          <w:rFonts w:ascii="Times New Roman" w:hAnsi="Times New Roman" w:cs="Times New Roman"/>
          <w:sz w:val="24"/>
          <w:szCs w:val="24"/>
        </w:rPr>
        <w:t>codice o un’eventuale limitazione o distorsione della concorrenza (esigenze</w:t>
      </w:r>
      <w:r>
        <w:rPr>
          <w:rFonts w:ascii="Times New Roman" w:hAnsi="Times New Roman" w:cs="Times New Roman"/>
          <w:sz w:val="24"/>
          <w:szCs w:val="24"/>
        </w:rPr>
        <w:t xml:space="preserve"> </w:t>
      </w:r>
      <w:r w:rsidRPr="0064449F">
        <w:rPr>
          <w:rFonts w:ascii="Times New Roman" w:hAnsi="Times New Roman" w:cs="Times New Roman"/>
          <w:sz w:val="24"/>
          <w:szCs w:val="24"/>
        </w:rPr>
        <w:t>attualmente ribadite, in via generale, dall’articolo 59, comma 1, secondo periodo del</w:t>
      </w:r>
      <w:r>
        <w:rPr>
          <w:rFonts w:ascii="Times New Roman" w:hAnsi="Times New Roman" w:cs="Times New Roman"/>
          <w:sz w:val="24"/>
          <w:szCs w:val="24"/>
        </w:rPr>
        <w:t xml:space="preserve"> </w:t>
      </w:r>
      <w:r w:rsidRPr="0064449F">
        <w:rPr>
          <w:rFonts w:ascii="Times New Roman" w:hAnsi="Times New Roman" w:cs="Times New Roman"/>
          <w:sz w:val="24"/>
          <w:szCs w:val="24"/>
        </w:rPr>
        <w:t>decreto legislativo 36/2023).</w:t>
      </w:r>
    </w:p>
    <w:p w14:paraId="7843807B" w14:textId="77777777" w:rsidR="002E458B" w:rsidRPr="0064449F" w:rsidRDefault="002E458B" w:rsidP="002E458B">
      <w:pPr>
        <w:spacing w:after="0" w:line="240" w:lineRule="auto"/>
        <w:jc w:val="both"/>
        <w:rPr>
          <w:rFonts w:ascii="Times New Roman" w:hAnsi="Times New Roman" w:cs="Times New Roman"/>
          <w:sz w:val="24"/>
          <w:szCs w:val="24"/>
        </w:rPr>
      </w:pPr>
      <w:r w:rsidRPr="0064449F">
        <w:rPr>
          <w:rFonts w:ascii="Times New Roman" w:hAnsi="Times New Roman" w:cs="Times New Roman"/>
          <w:sz w:val="24"/>
          <w:szCs w:val="24"/>
        </w:rPr>
        <w:t xml:space="preserve">In particolare, </w:t>
      </w:r>
      <w:r w:rsidRPr="0064449F">
        <w:rPr>
          <w:rFonts w:ascii="Times New Roman" w:hAnsi="Times New Roman" w:cs="Times New Roman"/>
          <w:b/>
          <w:bCs/>
          <w:sz w:val="24"/>
          <w:szCs w:val="24"/>
        </w:rPr>
        <w:t>l’importo massimo complessivo dell’accordo quadro</w:t>
      </w:r>
      <w:r w:rsidRPr="0064449F">
        <w:rPr>
          <w:rFonts w:ascii="Times New Roman" w:hAnsi="Times New Roman" w:cs="Times New Roman"/>
          <w:sz w:val="24"/>
          <w:szCs w:val="24"/>
        </w:rPr>
        <w:t xml:space="preserve"> </w:t>
      </w:r>
      <w:r w:rsidRPr="0064449F">
        <w:rPr>
          <w:rFonts w:ascii="Times New Roman" w:hAnsi="Times New Roman" w:cs="Times New Roman"/>
          <w:sz w:val="24"/>
          <w:szCs w:val="24"/>
          <w:u w:val="single"/>
        </w:rPr>
        <w:t>dovrà essere calcolato puntualmente nel rispetto di quanto previsto dal già richiamato articolo 14, comma 16, del decreto legislativo 36/2023</w:t>
      </w:r>
      <w:r w:rsidRPr="0064449F">
        <w:rPr>
          <w:rFonts w:ascii="Times New Roman" w:hAnsi="Times New Roman" w:cs="Times New Roman"/>
          <w:sz w:val="24"/>
          <w:szCs w:val="24"/>
        </w:rPr>
        <w:t xml:space="preserve"> e </w:t>
      </w:r>
      <w:r w:rsidRPr="0064449F">
        <w:rPr>
          <w:rFonts w:ascii="Times New Roman" w:hAnsi="Times New Roman" w:cs="Times New Roman"/>
          <w:b/>
          <w:bCs/>
          <w:sz w:val="24"/>
          <w:szCs w:val="24"/>
        </w:rPr>
        <w:t>l’eventuale possibile incremento dell’importo del contratto dovrà essere rapportato all’importo massimo stimato ai fini dell’affidamento diretto</w:t>
      </w:r>
      <w:r w:rsidRPr="0064449F">
        <w:rPr>
          <w:rFonts w:ascii="Times New Roman" w:hAnsi="Times New Roman" w:cs="Times New Roman"/>
          <w:sz w:val="24"/>
          <w:szCs w:val="24"/>
        </w:rPr>
        <w:t xml:space="preserve"> e non potrà, in ogni caso, comportare il superamento della soglia complessiva</w:t>
      </w:r>
      <w:r>
        <w:rPr>
          <w:rFonts w:ascii="Times New Roman" w:hAnsi="Times New Roman" w:cs="Times New Roman"/>
          <w:sz w:val="24"/>
          <w:szCs w:val="24"/>
        </w:rPr>
        <w:t xml:space="preserve"> </w:t>
      </w:r>
      <w:r w:rsidRPr="0064449F">
        <w:rPr>
          <w:rFonts w:ascii="Times New Roman" w:hAnsi="Times New Roman" w:cs="Times New Roman"/>
          <w:sz w:val="24"/>
          <w:szCs w:val="24"/>
        </w:rPr>
        <w:t>entro la quale è ammissibile il ricorso all’affidamento diretto.</w:t>
      </w:r>
    </w:p>
    <w:p w14:paraId="50A4F27B" w14:textId="77777777" w:rsidR="002E458B" w:rsidRPr="0064449F" w:rsidRDefault="002E458B" w:rsidP="002E458B">
      <w:pPr>
        <w:spacing w:after="0" w:line="240" w:lineRule="auto"/>
        <w:jc w:val="both"/>
        <w:rPr>
          <w:rFonts w:ascii="Times New Roman" w:hAnsi="Times New Roman" w:cs="Times New Roman"/>
          <w:sz w:val="24"/>
          <w:szCs w:val="24"/>
        </w:rPr>
      </w:pPr>
      <w:r w:rsidRPr="0064449F">
        <w:rPr>
          <w:rFonts w:ascii="Times New Roman" w:hAnsi="Times New Roman" w:cs="Times New Roman"/>
          <w:sz w:val="24"/>
          <w:szCs w:val="24"/>
        </w:rPr>
        <w:t>Stante la peculiarità dell’affidamento diretto in questione, sarebbe, altresì, auspicabile</w:t>
      </w:r>
      <w:r>
        <w:rPr>
          <w:rFonts w:ascii="Times New Roman" w:hAnsi="Times New Roman" w:cs="Times New Roman"/>
          <w:sz w:val="24"/>
          <w:szCs w:val="24"/>
        </w:rPr>
        <w:t xml:space="preserve"> </w:t>
      </w:r>
      <w:r w:rsidRPr="0064449F">
        <w:rPr>
          <w:rFonts w:ascii="Times New Roman" w:hAnsi="Times New Roman" w:cs="Times New Roman"/>
          <w:sz w:val="24"/>
          <w:szCs w:val="24"/>
        </w:rPr>
        <w:t>che le stazioni appaltanti procedano – ove possibile – alla consultazione di più operatori</w:t>
      </w:r>
      <w:r>
        <w:rPr>
          <w:rFonts w:ascii="Times New Roman" w:hAnsi="Times New Roman" w:cs="Times New Roman"/>
          <w:sz w:val="24"/>
          <w:szCs w:val="24"/>
        </w:rPr>
        <w:t xml:space="preserve"> </w:t>
      </w:r>
      <w:r w:rsidRPr="0064449F">
        <w:rPr>
          <w:rFonts w:ascii="Times New Roman" w:hAnsi="Times New Roman" w:cs="Times New Roman"/>
          <w:sz w:val="24"/>
          <w:szCs w:val="24"/>
        </w:rPr>
        <w:t xml:space="preserve">economici, assicurando che </w:t>
      </w:r>
      <w:r w:rsidRPr="0064449F">
        <w:rPr>
          <w:rFonts w:ascii="Times New Roman" w:hAnsi="Times New Roman" w:cs="Times New Roman"/>
          <w:sz w:val="24"/>
          <w:szCs w:val="24"/>
        </w:rPr>
        <w:lastRenderedPageBreak/>
        <w:t>siano in possesso di documentate esperienze pregresse</w:t>
      </w:r>
      <w:r>
        <w:rPr>
          <w:rFonts w:ascii="Times New Roman" w:hAnsi="Times New Roman" w:cs="Times New Roman"/>
          <w:sz w:val="24"/>
          <w:szCs w:val="24"/>
        </w:rPr>
        <w:t xml:space="preserve"> </w:t>
      </w:r>
      <w:r w:rsidRPr="0064449F">
        <w:rPr>
          <w:rFonts w:ascii="Times New Roman" w:hAnsi="Times New Roman" w:cs="Times New Roman"/>
          <w:sz w:val="24"/>
          <w:szCs w:val="24"/>
        </w:rPr>
        <w:t>idonee all’esecuzione delle prestazioni contrattuali oggetto dell’accordo quadro.</w:t>
      </w:r>
    </w:p>
    <w:p w14:paraId="62F74601" w14:textId="7E752545" w:rsidR="002E458B" w:rsidRDefault="002E458B" w:rsidP="002E458B">
      <w:pPr>
        <w:spacing w:after="0" w:line="240" w:lineRule="auto"/>
        <w:jc w:val="both"/>
        <w:rPr>
          <w:rFonts w:ascii="Times New Roman" w:hAnsi="Times New Roman" w:cs="Times New Roman"/>
          <w:sz w:val="24"/>
          <w:szCs w:val="24"/>
        </w:rPr>
      </w:pPr>
      <w:r w:rsidRPr="0064449F">
        <w:rPr>
          <w:rFonts w:ascii="Times New Roman" w:hAnsi="Times New Roman" w:cs="Times New Roman"/>
          <w:sz w:val="24"/>
          <w:szCs w:val="24"/>
        </w:rPr>
        <w:t>Per quanto concerne, infine, la compatibilità dell’affidamento diretto di un accordo quadro con</w:t>
      </w:r>
      <w:r>
        <w:rPr>
          <w:rFonts w:ascii="Times New Roman" w:hAnsi="Times New Roman" w:cs="Times New Roman"/>
          <w:sz w:val="24"/>
          <w:szCs w:val="24"/>
        </w:rPr>
        <w:t xml:space="preserve"> </w:t>
      </w:r>
      <w:r w:rsidRPr="0064449F">
        <w:rPr>
          <w:rFonts w:ascii="Times New Roman" w:hAnsi="Times New Roman" w:cs="Times New Roman"/>
          <w:sz w:val="24"/>
          <w:szCs w:val="24"/>
        </w:rPr>
        <w:t xml:space="preserve">il </w:t>
      </w:r>
      <w:r w:rsidRPr="0064449F">
        <w:rPr>
          <w:rFonts w:ascii="Times New Roman" w:hAnsi="Times New Roman" w:cs="Times New Roman"/>
          <w:b/>
          <w:bCs/>
          <w:sz w:val="24"/>
          <w:szCs w:val="24"/>
        </w:rPr>
        <w:t>principio di rotazione</w:t>
      </w:r>
      <w:r w:rsidRPr="0064449F">
        <w:rPr>
          <w:rFonts w:ascii="Times New Roman" w:hAnsi="Times New Roman" w:cs="Times New Roman"/>
          <w:sz w:val="24"/>
          <w:szCs w:val="24"/>
        </w:rPr>
        <w:t xml:space="preserve"> di cui all’articolo 49 del decreto legislativo 36/2023 – fermo restando il</w:t>
      </w:r>
      <w:r>
        <w:rPr>
          <w:rFonts w:ascii="Times New Roman" w:hAnsi="Times New Roman" w:cs="Times New Roman"/>
          <w:sz w:val="24"/>
          <w:szCs w:val="24"/>
        </w:rPr>
        <w:t xml:space="preserve"> </w:t>
      </w:r>
      <w:r w:rsidRPr="0064449F">
        <w:rPr>
          <w:rFonts w:ascii="Times New Roman" w:hAnsi="Times New Roman" w:cs="Times New Roman"/>
          <w:sz w:val="24"/>
          <w:szCs w:val="24"/>
        </w:rPr>
        <w:t>fatto che l’applicazione del principio non può, comunque, essere aggirata mediante</w:t>
      </w:r>
      <w:r>
        <w:rPr>
          <w:rFonts w:ascii="Times New Roman" w:hAnsi="Times New Roman" w:cs="Times New Roman"/>
          <w:sz w:val="24"/>
          <w:szCs w:val="24"/>
        </w:rPr>
        <w:t xml:space="preserve"> </w:t>
      </w:r>
      <w:r w:rsidRPr="0064449F">
        <w:rPr>
          <w:rFonts w:ascii="Times New Roman" w:hAnsi="Times New Roman" w:cs="Times New Roman"/>
          <w:sz w:val="24"/>
          <w:szCs w:val="24"/>
        </w:rPr>
        <w:t>ricorso ad arbitrari frazionamenti, ingiustificate aggregazioni o strumentali</w:t>
      </w:r>
      <w:r>
        <w:rPr>
          <w:rFonts w:ascii="Times New Roman" w:hAnsi="Times New Roman" w:cs="Times New Roman"/>
          <w:sz w:val="24"/>
          <w:szCs w:val="24"/>
        </w:rPr>
        <w:t xml:space="preserve"> </w:t>
      </w:r>
      <w:r w:rsidRPr="0064449F">
        <w:rPr>
          <w:rFonts w:ascii="Times New Roman" w:hAnsi="Times New Roman" w:cs="Times New Roman"/>
          <w:sz w:val="24"/>
          <w:szCs w:val="24"/>
        </w:rPr>
        <w:t xml:space="preserve">determinazioni del calcolo del valore stimato dell’appalto – si evidenzia che </w:t>
      </w:r>
      <w:r w:rsidRPr="0064449F">
        <w:rPr>
          <w:rFonts w:ascii="Times New Roman" w:hAnsi="Times New Roman" w:cs="Times New Roman"/>
          <w:b/>
          <w:bCs/>
          <w:sz w:val="24"/>
          <w:szCs w:val="24"/>
        </w:rPr>
        <w:t xml:space="preserve">i singoli ed eventuali contratti applicativi a valle dell’accordo quadro, appaiono riconducibili all’unico affidamento iniziale di importo massimo stimato inferiore alle soglie di cui all’articolo 50, comma 1, lettere a) e b) del Codice. </w:t>
      </w:r>
      <w:r w:rsidRPr="0064449F">
        <w:rPr>
          <w:rFonts w:ascii="Times New Roman" w:hAnsi="Times New Roman" w:cs="Times New Roman"/>
          <w:sz w:val="24"/>
          <w:szCs w:val="24"/>
        </w:rPr>
        <w:t xml:space="preserve">Tale circostanza </w:t>
      </w:r>
      <w:r w:rsidRPr="0064449F">
        <w:rPr>
          <w:rFonts w:ascii="Times New Roman" w:hAnsi="Times New Roman" w:cs="Times New Roman"/>
          <w:sz w:val="24"/>
          <w:szCs w:val="24"/>
          <w:u w:val="single"/>
        </w:rPr>
        <w:t>esclude, pertanto, la violazione del richiamato principio nel caso di successivi contratti applicativi rientranti nell’ambito</w:t>
      </w:r>
      <w:r>
        <w:rPr>
          <w:rFonts w:ascii="Times New Roman" w:hAnsi="Times New Roman" w:cs="Times New Roman"/>
          <w:sz w:val="24"/>
          <w:szCs w:val="24"/>
          <w:u w:val="single"/>
        </w:rPr>
        <w:t xml:space="preserve"> </w:t>
      </w:r>
      <w:r w:rsidRPr="0064449F">
        <w:rPr>
          <w:rFonts w:ascii="Times New Roman" w:hAnsi="Times New Roman" w:cs="Times New Roman"/>
          <w:sz w:val="24"/>
          <w:szCs w:val="24"/>
        </w:rPr>
        <w:t>dell’importo massimo stimato per l’affidamento diretto dell’accordo quadro. Troverà,</w:t>
      </w:r>
      <w:r>
        <w:rPr>
          <w:rFonts w:ascii="Times New Roman" w:hAnsi="Times New Roman" w:cs="Times New Roman"/>
          <w:sz w:val="24"/>
          <w:szCs w:val="24"/>
        </w:rPr>
        <w:t xml:space="preserve"> </w:t>
      </w:r>
      <w:r w:rsidRPr="0064449F">
        <w:rPr>
          <w:rFonts w:ascii="Times New Roman" w:hAnsi="Times New Roman" w:cs="Times New Roman"/>
          <w:sz w:val="24"/>
          <w:szCs w:val="24"/>
        </w:rPr>
        <w:t>comunque applicazione il successivo comma 2 del citato articolo 49, con conseguente</w:t>
      </w:r>
      <w:r>
        <w:rPr>
          <w:rFonts w:ascii="Times New Roman" w:hAnsi="Times New Roman" w:cs="Times New Roman"/>
          <w:sz w:val="24"/>
          <w:szCs w:val="24"/>
        </w:rPr>
        <w:t xml:space="preserve"> </w:t>
      </w:r>
      <w:r w:rsidRPr="0064449F">
        <w:rPr>
          <w:rFonts w:ascii="Times New Roman" w:hAnsi="Times New Roman" w:cs="Times New Roman"/>
          <w:sz w:val="24"/>
          <w:szCs w:val="24"/>
        </w:rPr>
        <w:t>divieto di affidamento o aggiudicazione di un appalto al contraente uscente nei casi in</w:t>
      </w:r>
      <w:r>
        <w:rPr>
          <w:rFonts w:ascii="Times New Roman" w:hAnsi="Times New Roman" w:cs="Times New Roman"/>
          <w:sz w:val="24"/>
          <w:szCs w:val="24"/>
        </w:rPr>
        <w:t xml:space="preserve"> </w:t>
      </w:r>
      <w:r w:rsidRPr="0064449F">
        <w:rPr>
          <w:rFonts w:ascii="Times New Roman" w:hAnsi="Times New Roman" w:cs="Times New Roman"/>
          <w:sz w:val="24"/>
          <w:szCs w:val="24"/>
        </w:rPr>
        <w:t>cui due consecutivi affidamenti rientrino nello stesso settore merceologico, oppure</w:t>
      </w:r>
      <w:r>
        <w:rPr>
          <w:rFonts w:ascii="Times New Roman" w:hAnsi="Times New Roman" w:cs="Times New Roman"/>
          <w:sz w:val="24"/>
          <w:szCs w:val="24"/>
        </w:rPr>
        <w:t xml:space="preserve"> </w:t>
      </w:r>
      <w:r w:rsidRPr="0064449F">
        <w:rPr>
          <w:rFonts w:ascii="Times New Roman" w:hAnsi="Times New Roman" w:cs="Times New Roman"/>
          <w:sz w:val="24"/>
          <w:szCs w:val="24"/>
        </w:rPr>
        <w:t>nella stessa categoria di opere, oppure nello stesso settore di servizi. Si ricorda, infine,</w:t>
      </w:r>
      <w:r>
        <w:rPr>
          <w:rFonts w:ascii="Times New Roman" w:hAnsi="Times New Roman" w:cs="Times New Roman"/>
          <w:sz w:val="24"/>
          <w:szCs w:val="24"/>
        </w:rPr>
        <w:t xml:space="preserve"> </w:t>
      </w:r>
      <w:r w:rsidRPr="0064449F">
        <w:rPr>
          <w:rFonts w:ascii="Times New Roman" w:hAnsi="Times New Roman" w:cs="Times New Roman"/>
          <w:sz w:val="24"/>
          <w:szCs w:val="24"/>
        </w:rPr>
        <w:t>che ove la stazione appaltante, ai sensi del comma 3 dell’articolo 49 abbia, con proprio</w:t>
      </w:r>
      <w:r>
        <w:rPr>
          <w:rFonts w:ascii="Times New Roman" w:hAnsi="Times New Roman" w:cs="Times New Roman"/>
          <w:sz w:val="24"/>
          <w:szCs w:val="24"/>
        </w:rPr>
        <w:t xml:space="preserve"> </w:t>
      </w:r>
      <w:r w:rsidRPr="0064449F">
        <w:rPr>
          <w:rFonts w:ascii="Times New Roman" w:hAnsi="Times New Roman" w:cs="Times New Roman"/>
          <w:sz w:val="24"/>
          <w:szCs w:val="24"/>
        </w:rPr>
        <w:t>provvedimento, ripartito gli affidamenti in fasce in base al valore economico, il divieto</w:t>
      </w:r>
      <w:r w:rsidR="0032267B">
        <w:rPr>
          <w:rFonts w:ascii="Times New Roman" w:hAnsi="Times New Roman" w:cs="Times New Roman"/>
          <w:sz w:val="24"/>
          <w:szCs w:val="24"/>
        </w:rPr>
        <w:t xml:space="preserve"> </w:t>
      </w:r>
      <w:r w:rsidRPr="0064449F">
        <w:rPr>
          <w:rFonts w:ascii="Times New Roman" w:hAnsi="Times New Roman" w:cs="Times New Roman"/>
          <w:sz w:val="24"/>
          <w:szCs w:val="24"/>
        </w:rPr>
        <w:t>di affidamento o di aggiudicazione, conseguente al rispetto del principio di rotazione,</w:t>
      </w:r>
      <w:r>
        <w:rPr>
          <w:rFonts w:ascii="Times New Roman" w:hAnsi="Times New Roman" w:cs="Times New Roman"/>
          <w:sz w:val="24"/>
          <w:szCs w:val="24"/>
        </w:rPr>
        <w:t xml:space="preserve"> </w:t>
      </w:r>
      <w:r w:rsidRPr="0064449F">
        <w:rPr>
          <w:rFonts w:ascii="Times New Roman" w:hAnsi="Times New Roman" w:cs="Times New Roman"/>
          <w:sz w:val="24"/>
          <w:szCs w:val="24"/>
        </w:rPr>
        <w:t>troverà applicazione con riferimento a ciascuna fascia.</w:t>
      </w:r>
    </w:p>
    <w:p w14:paraId="43456EBA" w14:textId="77777777" w:rsidR="002E458B" w:rsidRDefault="002E458B" w:rsidP="002E458B">
      <w:pPr>
        <w:spacing w:after="0" w:line="240" w:lineRule="auto"/>
        <w:jc w:val="both"/>
        <w:rPr>
          <w:rFonts w:ascii="Times New Roman" w:hAnsi="Times New Roman" w:cs="Times New Roman"/>
          <w:sz w:val="24"/>
          <w:szCs w:val="24"/>
        </w:rPr>
      </w:pPr>
    </w:p>
    <w:p w14:paraId="59B5B1A8" w14:textId="77777777" w:rsidR="002E458B" w:rsidRDefault="002E458B" w:rsidP="002E45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p>
    <w:p w14:paraId="2A6D5CF0" w14:textId="77777777" w:rsidR="002E458B" w:rsidRPr="00910DEE" w:rsidRDefault="002E458B" w:rsidP="002E458B">
      <w:pPr>
        <w:spacing w:after="0" w:line="240" w:lineRule="auto"/>
        <w:jc w:val="both"/>
        <w:rPr>
          <w:rFonts w:ascii="Times New Roman" w:hAnsi="Times New Roman" w:cs="Times New Roman"/>
          <w:sz w:val="24"/>
          <w:szCs w:val="24"/>
        </w:rPr>
      </w:pPr>
    </w:p>
    <w:p w14:paraId="40933409" w14:textId="77777777" w:rsidR="002E458B" w:rsidRPr="009918B3" w:rsidRDefault="002E458B" w:rsidP="002E458B">
      <w:pPr>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REQUISITI SPECIALI – ART. 100 –</w:t>
      </w:r>
    </w:p>
    <w:p w14:paraId="6A4016BB" w14:textId="77777777" w:rsidR="002E458B" w:rsidRPr="00101B3F" w:rsidRDefault="002E458B" w:rsidP="002E458B">
      <w:pPr>
        <w:jc w:val="both"/>
        <w:rPr>
          <w:rFonts w:ascii="Times New Roman" w:hAnsi="Times New Roman" w:cs="Times New Roman"/>
          <w:b/>
          <w:bCs/>
          <w:sz w:val="24"/>
          <w:szCs w:val="24"/>
        </w:rPr>
      </w:pPr>
      <w:r w:rsidRPr="00101B3F">
        <w:rPr>
          <w:rFonts w:ascii="Times New Roman" w:hAnsi="Times New Roman" w:cs="Times New Roman"/>
          <w:b/>
          <w:bCs/>
          <w:sz w:val="24"/>
          <w:szCs w:val="24"/>
        </w:rPr>
        <w:t>Tar Lazio, Roma, Sez. II, 2.12.2024, n. 21577</w:t>
      </w:r>
    </w:p>
    <w:p w14:paraId="37B4FF7E" w14:textId="77777777" w:rsidR="002E458B" w:rsidRPr="00101B3F" w:rsidRDefault="002E458B" w:rsidP="002E458B">
      <w:pPr>
        <w:jc w:val="both"/>
        <w:rPr>
          <w:rFonts w:ascii="Times New Roman" w:hAnsi="Times New Roman" w:cs="Times New Roman"/>
          <w:b/>
          <w:bCs/>
          <w:i/>
          <w:iCs/>
          <w:sz w:val="24"/>
          <w:szCs w:val="24"/>
        </w:rPr>
      </w:pPr>
      <w:r w:rsidRPr="00101B3F">
        <w:rPr>
          <w:rFonts w:ascii="Times New Roman" w:hAnsi="Times New Roman" w:cs="Times New Roman"/>
          <w:b/>
          <w:bCs/>
          <w:i/>
          <w:iCs/>
          <w:sz w:val="24"/>
          <w:szCs w:val="24"/>
        </w:rPr>
        <w:t xml:space="preserve">Sulla discrezionalità ricadente in capo alle Stazione appaltante nella definizione dei requisiti speciali </w:t>
      </w:r>
    </w:p>
    <w:p w14:paraId="35BA4C68" w14:textId="77777777" w:rsidR="002E458B" w:rsidRPr="00101B3F" w:rsidRDefault="002E458B" w:rsidP="002E458B">
      <w:pPr>
        <w:jc w:val="both"/>
        <w:rPr>
          <w:rFonts w:ascii="Times New Roman" w:hAnsi="Times New Roman" w:cs="Times New Roman"/>
          <w:sz w:val="24"/>
          <w:szCs w:val="24"/>
        </w:rPr>
      </w:pPr>
      <w:r w:rsidRPr="00101B3F">
        <w:rPr>
          <w:rFonts w:ascii="Times New Roman" w:hAnsi="Times New Roman" w:cs="Times New Roman"/>
          <w:sz w:val="24"/>
          <w:szCs w:val="24"/>
        </w:rPr>
        <w:t xml:space="preserve">Come detto, il co.3 dell’art.10 (quale norma di principio) affida alle stazioni appaltanti il potere-dovere di declinare requisiti speciali correttamente calibrati sulla natura e sul valore della procedura selettiva. L’art.100, al co.1, </w:t>
      </w:r>
      <w:r w:rsidRPr="00446F25">
        <w:rPr>
          <w:rFonts w:ascii="Times New Roman" w:hAnsi="Times New Roman" w:cs="Times New Roman"/>
          <w:b/>
          <w:bCs/>
          <w:sz w:val="24"/>
          <w:szCs w:val="24"/>
        </w:rPr>
        <w:t>individua tre macro-categorie di requisiti speciali</w:t>
      </w:r>
      <w:r w:rsidRPr="00101B3F">
        <w:rPr>
          <w:rFonts w:ascii="Times New Roman" w:hAnsi="Times New Roman" w:cs="Times New Roman"/>
          <w:sz w:val="24"/>
          <w:szCs w:val="24"/>
        </w:rPr>
        <w:t xml:space="preserve"> (idoneità professionale; capacità economica e finanziaria; capacità tecniche e professionali) e, al </w:t>
      </w:r>
      <w:r w:rsidRPr="00446F25">
        <w:rPr>
          <w:rFonts w:ascii="Times New Roman" w:hAnsi="Times New Roman" w:cs="Times New Roman"/>
          <w:b/>
          <w:bCs/>
          <w:sz w:val="24"/>
          <w:szCs w:val="24"/>
        </w:rPr>
        <w:t>co.11</w:t>
      </w:r>
      <w:r w:rsidRPr="00101B3F">
        <w:rPr>
          <w:rFonts w:ascii="Times New Roman" w:hAnsi="Times New Roman" w:cs="Times New Roman"/>
          <w:sz w:val="24"/>
          <w:szCs w:val="24"/>
        </w:rPr>
        <w:t>, nelle more dell’adozione del regolamento attuativo di cui al co.4, per servizi e forniture si prevede la possibilità di introdurre “quale requisito di capacità tecnica e professionale di aver eseguito nel precedente triennio dalla data di indizione della procedura di gara contratti analoghi a quello in affidamento anche a favore di soggetti privati”.</w:t>
      </w:r>
    </w:p>
    <w:p w14:paraId="4711FE22" w14:textId="77777777" w:rsidR="002E458B" w:rsidRPr="00101B3F" w:rsidRDefault="002E458B" w:rsidP="002E458B">
      <w:pPr>
        <w:jc w:val="both"/>
        <w:rPr>
          <w:rFonts w:ascii="Times New Roman" w:hAnsi="Times New Roman" w:cs="Times New Roman"/>
          <w:sz w:val="24"/>
          <w:szCs w:val="24"/>
        </w:rPr>
      </w:pPr>
      <w:r w:rsidRPr="00101B3F">
        <w:rPr>
          <w:rFonts w:ascii="Times New Roman" w:hAnsi="Times New Roman" w:cs="Times New Roman"/>
          <w:sz w:val="24"/>
          <w:szCs w:val="24"/>
        </w:rPr>
        <w:t xml:space="preserve">In proposito, si osserva che, </w:t>
      </w:r>
      <w:r w:rsidRPr="00446F25">
        <w:rPr>
          <w:rFonts w:ascii="Times New Roman" w:hAnsi="Times New Roman" w:cs="Times New Roman"/>
          <w:b/>
          <w:bCs/>
          <w:sz w:val="24"/>
          <w:szCs w:val="24"/>
        </w:rPr>
        <w:t>il co.12 dell’art.100, nel limitare la discrezionalità delle stazioni appaltanti, non si riferisce ai requisiti fissati dai singoli, specifici commi dell’articolo in questione (ossia alle disposizioni di dettaglio), bensì a quelli del “presente articolo”.</w:t>
      </w:r>
      <w:r w:rsidRPr="00101B3F">
        <w:rPr>
          <w:rFonts w:ascii="Times New Roman" w:hAnsi="Times New Roman" w:cs="Times New Roman"/>
          <w:sz w:val="24"/>
          <w:szCs w:val="24"/>
        </w:rPr>
        <w:t xml:space="preserve"> </w:t>
      </w:r>
      <w:r w:rsidRPr="00446F25">
        <w:rPr>
          <w:rFonts w:ascii="Times New Roman" w:hAnsi="Times New Roman" w:cs="Times New Roman"/>
          <w:b/>
          <w:bCs/>
          <w:sz w:val="24"/>
          <w:szCs w:val="24"/>
          <w:u w:val="single"/>
        </w:rPr>
        <w:t>Ove tale inciso fosse inteso nel senso che le stazioni appaltanti possano richiedere solo i requisiti contemplati al co.11 dell’art.100, ne deriverebbe una seria compromissione della potestà discrezionale affermata al co.3 dell’art.10,</w:t>
      </w:r>
      <w:r w:rsidRPr="00101B3F">
        <w:rPr>
          <w:rFonts w:ascii="Times New Roman" w:hAnsi="Times New Roman" w:cs="Times New Roman"/>
          <w:sz w:val="24"/>
          <w:szCs w:val="24"/>
        </w:rPr>
        <w:t xml:space="preserve"> dal momento che, in pratica, per servizi e forniture (nelle more dell’adozione del regolamento) si potrebbe prevedere solo l’avere eseguito contratti analoghi nel precedente triennio (ad esclusione, ad esempio, dei contratti per servizi identici). Si tratterebbe, in definitiva, di un regime di sostanziale, rigida tassatività (anche) dei requisiti speciali.</w:t>
      </w:r>
    </w:p>
    <w:p w14:paraId="32B29B65" w14:textId="02DCA2AB" w:rsidR="002E458B" w:rsidRPr="00101B3F" w:rsidRDefault="002E458B" w:rsidP="002E458B">
      <w:pPr>
        <w:jc w:val="both"/>
        <w:rPr>
          <w:rFonts w:ascii="Times New Roman" w:hAnsi="Times New Roman" w:cs="Times New Roman"/>
          <w:sz w:val="24"/>
          <w:szCs w:val="24"/>
        </w:rPr>
      </w:pPr>
      <w:r w:rsidRPr="00101B3F">
        <w:rPr>
          <w:rFonts w:ascii="Times New Roman" w:hAnsi="Times New Roman" w:cs="Times New Roman"/>
          <w:sz w:val="24"/>
          <w:szCs w:val="24"/>
        </w:rPr>
        <w:t xml:space="preserve">Ora, fermo restando che, in ogni caso, non è prevista la sanzione della nullità (il che inficia in radice la possibilità di disapplicazione della </w:t>
      </w:r>
      <w:proofErr w:type="spellStart"/>
      <w:r w:rsidRPr="00101B3F">
        <w:rPr>
          <w:rFonts w:ascii="Times New Roman" w:hAnsi="Times New Roman" w:cs="Times New Roman"/>
          <w:sz w:val="24"/>
          <w:szCs w:val="24"/>
        </w:rPr>
        <w:t>lex</w:t>
      </w:r>
      <w:proofErr w:type="spellEnd"/>
      <w:r w:rsidRPr="00101B3F">
        <w:rPr>
          <w:rFonts w:ascii="Times New Roman" w:hAnsi="Times New Roman" w:cs="Times New Roman"/>
          <w:sz w:val="24"/>
          <w:szCs w:val="24"/>
        </w:rPr>
        <w:t xml:space="preserve"> </w:t>
      </w:r>
      <w:proofErr w:type="spellStart"/>
      <w:r w:rsidRPr="00101B3F">
        <w:rPr>
          <w:rFonts w:ascii="Times New Roman" w:hAnsi="Times New Roman" w:cs="Times New Roman"/>
          <w:sz w:val="24"/>
          <w:szCs w:val="24"/>
        </w:rPr>
        <w:t>specialis</w:t>
      </w:r>
      <w:proofErr w:type="spellEnd"/>
      <w:r w:rsidRPr="00101B3F">
        <w:rPr>
          <w:rFonts w:ascii="Times New Roman" w:hAnsi="Times New Roman" w:cs="Times New Roman"/>
          <w:sz w:val="24"/>
          <w:szCs w:val="24"/>
        </w:rPr>
        <w:t xml:space="preserve"> che fosse eventualmente difforme), si ritiene maggiormente aderente alla ratio legis, ed </w:t>
      </w:r>
      <w:r w:rsidRPr="00446F25">
        <w:rPr>
          <w:rFonts w:ascii="Times New Roman" w:hAnsi="Times New Roman" w:cs="Times New Roman"/>
          <w:b/>
          <w:bCs/>
          <w:sz w:val="24"/>
          <w:szCs w:val="24"/>
        </w:rPr>
        <w:t>all’affermazione di principio contenuta al co.3 dell’art.10, che il co.12 dell’art.100 vada interpretato come riferito, esclusivamente, ai macro-</w:t>
      </w:r>
      <w:r w:rsidRPr="00446F25">
        <w:rPr>
          <w:rFonts w:ascii="Times New Roman" w:hAnsi="Times New Roman" w:cs="Times New Roman"/>
          <w:b/>
          <w:bCs/>
          <w:sz w:val="24"/>
          <w:szCs w:val="24"/>
        </w:rPr>
        <w:lastRenderedPageBreak/>
        <w:t xml:space="preserve">requisiti di cui al co.1 dell’art.100, con esclusione, quindi, della (sola) possibilità di prevedere requisiti speciali diversi da quelli di idoneità professionale, capacità economico-finanziaria e tecnico-professionale. </w:t>
      </w:r>
      <w:r w:rsidRPr="00101B3F">
        <w:rPr>
          <w:rFonts w:ascii="Times New Roman" w:hAnsi="Times New Roman" w:cs="Times New Roman"/>
          <w:sz w:val="24"/>
          <w:szCs w:val="24"/>
        </w:rPr>
        <w:t xml:space="preserve">L’opposta interpretazione finirebbe per </w:t>
      </w:r>
      <w:r w:rsidRPr="00446F25">
        <w:rPr>
          <w:rFonts w:ascii="Times New Roman" w:hAnsi="Times New Roman" w:cs="Times New Roman"/>
          <w:b/>
          <w:bCs/>
          <w:sz w:val="24"/>
          <w:szCs w:val="24"/>
        </w:rPr>
        <w:t>restringere</w:t>
      </w:r>
      <w:r w:rsidRPr="00101B3F">
        <w:rPr>
          <w:rFonts w:ascii="Times New Roman" w:hAnsi="Times New Roman" w:cs="Times New Roman"/>
          <w:sz w:val="24"/>
          <w:szCs w:val="24"/>
        </w:rPr>
        <w:t xml:space="preserve">, immotivatamente, la discrezionalità delle stazioni appaltanti, togliendo a quest’ultima il potere di calibrare, in concreto, i requisiti di capacità/idoneità degli operatori economici, facendo (in tale ipotesi) dubitare della compatibilità (costituzionale ed </w:t>
      </w:r>
      <w:proofErr w:type="spellStart"/>
      <w:r w:rsidRPr="00101B3F">
        <w:rPr>
          <w:rFonts w:ascii="Times New Roman" w:hAnsi="Times New Roman" w:cs="Times New Roman"/>
          <w:sz w:val="24"/>
          <w:szCs w:val="24"/>
        </w:rPr>
        <w:t>eurounitaria</w:t>
      </w:r>
      <w:proofErr w:type="spellEnd"/>
      <w:r w:rsidRPr="00101B3F">
        <w:rPr>
          <w:rFonts w:ascii="Times New Roman" w:hAnsi="Times New Roman" w:cs="Times New Roman"/>
          <w:sz w:val="24"/>
          <w:szCs w:val="24"/>
        </w:rPr>
        <w:t>) della disposizione sia con il principio di ragionevolezza che con l’art.58 della Direttiva 2014/24/UE, che assegna alla stazione appaltante il potere di individuare i requisiti speciali, ai sensi del par.5 (“Le amministrazioni aggiudicatrici indicano le condizioni di partecipazione richieste, che possono essere espresse come livelli</w:t>
      </w:r>
      <w:r w:rsidR="00446F25">
        <w:rPr>
          <w:rFonts w:ascii="Times New Roman" w:hAnsi="Times New Roman" w:cs="Times New Roman"/>
          <w:sz w:val="24"/>
          <w:szCs w:val="24"/>
        </w:rPr>
        <w:t xml:space="preserve"> </w:t>
      </w:r>
      <w:r w:rsidRPr="00101B3F">
        <w:rPr>
          <w:rFonts w:ascii="Times New Roman" w:hAnsi="Times New Roman" w:cs="Times New Roman"/>
          <w:sz w:val="24"/>
          <w:szCs w:val="24"/>
        </w:rPr>
        <w:t>minimi di capacità, congiuntamente agli idonei mezzi di prova, nel bando di gara o nell’invito a confermare interesse”). Per quanto concerne, poi, i requisiti di capacità tecnico-professionali, il par.4, secondo periodo, dell’art.58 contempla la possibilità di esigere “in particolare, che gli operatori economici dispongano di un livello sufficiente di esperienza comprovato da opportune referenze relative a contratti eseguiti in precedenza.”. Anche l’art.58 della Direttiva, inoltre, al secondo periodo del primo paragrafo prevede una sorta di tassatività attenuata, nel senso che la discrezionalità delle stazioni appaltanti non possa fuoriuscire dai binari ampi recati dai par.2,3,4.</w:t>
      </w:r>
    </w:p>
    <w:p w14:paraId="09004936" w14:textId="77777777" w:rsidR="002E458B" w:rsidRPr="00101B3F" w:rsidRDefault="002E458B" w:rsidP="002E458B">
      <w:pPr>
        <w:jc w:val="both"/>
        <w:rPr>
          <w:rFonts w:ascii="Times New Roman" w:hAnsi="Times New Roman" w:cs="Times New Roman"/>
          <w:sz w:val="24"/>
          <w:szCs w:val="24"/>
        </w:rPr>
      </w:pPr>
      <w:r w:rsidRPr="00101B3F">
        <w:rPr>
          <w:rFonts w:ascii="Times New Roman" w:hAnsi="Times New Roman" w:cs="Times New Roman"/>
          <w:sz w:val="24"/>
          <w:szCs w:val="24"/>
        </w:rPr>
        <w:t>Non a caso, peraltro, il co.12 del citato art.100 fa salve le previsioni recate dall’art.102 del Codice, che hanno ad oggetto, effettivamente, condizioni di accesso ulteriori che non attengono ai requisiti di cui al co.1 dell’art.100 ma ad aspetti diversi (es. la garanzia della stabilità occupazionale). Ciò significa, a contrario, che, in forza dell’art.100, la stazione appaltante mantiene, in generale, la facoltà discrezionale di introdurre requisiti di capacità tecnico-professionale dell’operatore economica, certamente entro i limiti concettuali fissati dal co.3 dell’art.10; semmai, la previsione recata dal co.11 dell’art.100 rappresenta un ulteriore limite che può operare, tuttavia, limitatamente al caso in cui la stazione appaltante introduca i requisiti espressamente contemplati da detta norma (es. il fatturato globale, i contratti analoghi). In tali circostanze, si deve reputare che la stazione appaltante non possa disciplinare il requisito in modo difforme dalla legge.</w:t>
      </w:r>
    </w:p>
    <w:p w14:paraId="6B055616" w14:textId="77777777" w:rsidR="002E458B" w:rsidRDefault="002E458B" w:rsidP="002E458B">
      <w:pPr>
        <w:jc w:val="both"/>
        <w:rPr>
          <w:rFonts w:ascii="Times New Roman" w:hAnsi="Times New Roman" w:cs="Times New Roman"/>
          <w:sz w:val="24"/>
          <w:szCs w:val="24"/>
        </w:rPr>
      </w:pPr>
      <w:r>
        <w:rPr>
          <w:rFonts w:ascii="Times New Roman" w:hAnsi="Times New Roman" w:cs="Times New Roman"/>
          <w:sz w:val="24"/>
          <w:szCs w:val="24"/>
        </w:rPr>
        <w:t xml:space="preserve">____________________  </w:t>
      </w:r>
    </w:p>
    <w:p w14:paraId="46C4700B" w14:textId="77777777" w:rsidR="002E458B" w:rsidRPr="009918B3" w:rsidRDefault="002E458B" w:rsidP="002E458B">
      <w:pPr>
        <w:jc w:val="both"/>
        <w:rPr>
          <w:rFonts w:ascii="Times New Roman" w:hAnsi="Times New Roman" w:cs="Times New Roman"/>
          <w:b/>
          <w:bCs/>
          <w:sz w:val="24"/>
          <w:szCs w:val="24"/>
        </w:rPr>
      </w:pPr>
      <w:r w:rsidRPr="009918B3">
        <w:rPr>
          <w:rFonts w:ascii="Times New Roman" w:hAnsi="Times New Roman" w:cs="Times New Roman"/>
          <w:b/>
          <w:bCs/>
          <w:sz w:val="24"/>
          <w:szCs w:val="24"/>
        </w:rPr>
        <w:t>Tar Emilia Romagna, Bologna, Sez. II, 11.02.2025</w:t>
      </w:r>
    </w:p>
    <w:p w14:paraId="790B3F1E" w14:textId="77777777" w:rsidR="002E458B" w:rsidRPr="009918B3" w:rsidRDefault="002E458B" w:rsidP="002E458B">
      <w:pPr>
        <w:jc w:val="both"/>
        <w:rPr>
          <w:rFonts w:ascii="Times New Roman" w:hAnsi="Times New Roman" w:cs="Times New Roman"/>
          <w:b/>
          <w:bCs/>
          <w:i/>
          <w:iCs/>
          <w:sz w:val="24"/>
          <w:szCs w:val="24"/>
        </w:rPr>
      </w:pPr>
      <w:r w:rsidRPr="009918B3">
        <w:rPr>
          <w:rFonts w:ascii="Times New Roman" w:hAnsi="Times New Roman" w:cs="Times New Roman"/>
          <w:b/>
          <w:bCs/>
          <w:i/>
          <w:iCs/>
          <w:sz w:val="24"/>
          <w:szCs w:val="24"/>
        </w:rPr>
        <w:t>Sulla discrezionalità della stazione appaltante nel fissare i requisiti di partecipazione alle gare.</w:t>
      </w:r>
    </w:p>
    <w:p w14:paraId="3F815C08" w14:textId="77777777" w:rsidR="002E458B" w:rsidRPr="009918B3" w:rsidRDefault="002E458B" w:rsidP="002E458B">
      <w:pPr>
        <w:spacing w:after="0"/>
        <w:jc w:val="both"/>
        <w:rPr>
          <w:rFonts w:ascii="Times New Roman" w:hAnsi="Times New Roman" w:cs="Times New Roman"/>
          <w:sz w:val="24"/>
          <w:szCs w:val="24"/>
        </w:rPr>
      </w:pPr>
      <w:r>
        <w:rPr>
          <w:rFonts w:ascii="Times New Roman" w:hAnsi="Times New Roman" w:cs="Times New Roman"/>
          <w:sz w:val="24"/>
          <w:szCs w:val="24"/>
        </w:rPr>
        <w:t>P</w:t>
      </w:r>
      <w:r w:rsidRPr="009918B3">
        <w:rPr>
          <w:rFonts w:ascii="Times New Roman" w:hAnsi="Times New Roman" w:cs="Times New Roman"/>
          <w:sz w:val="24"/>
          <w:szCs w:val="24"/>
        </w:rPr>
        <w:t>er la peculiarità del servizio messo a gara il numero di competitori era molto limitato e ha concluso che non era irragionevole la scelta della stazione appaltante di non porre barriere all’ingresso, così da non restringere ulteriormente la concorrenza. Tanto più che, quale contrappeso all’assenza di requisiti di partecipazione, la legge di gara aveva allora configurato l’esperienza pregressa del concorrente quale elemento di valutazione dell’offerta.</w:t>
      </w:r>
    </w:p>
    <w:p w14:paraId="60B47BBE" w14:textId="77777777" w:rsidR="002E458B" w:rsidRPr="009918B3" w:rsidRDefault="002E458B" w:rsidP="002E458B">
      <w:pPr>
        <w:spacing w:after="0"/>
        <w:jc w:val="both"/>
        <w:rPr>
          <w:rFonts w:ascii="Times New Roman" w:hAnsi="Times New Roman" w:cs="Times New Roman"/>
          <w:sz w:val="24"/>
          <w:szCs w:val="24"/>
        </w:rPr>
      </w:pPr>
      <w:r w:rsidRPr="009918B3">
        <w:rPr>
          <w:rFonts w:ascii="Times New Roman" w:hAnsi="Times New Roman" w:cs="Times New Roman"/>
          <w:sz w:val="24"/>
          <w:szCs w:val="24"/>
        </w:rPr>
        <w:t>5.3. Il Collegio ritiene che non vi siano ragioni per discostarsi dal proprio recente precedente.</w:t>
      </w:r>
    </w:p>
    <w:p w14:paraId="06FC03E4" w14:textId="77777777" w:rsidR="002E458B" w:rsidRPr="009918B3" w:rsidRDefault="002E458B" w:rsidP="002E458B">
      <w:pPr>
        <w:spacing w:after="0"/>
        <w:jc w:val="both"/>
        <w:rPr>
          <w:rFonts w:ascii="Times New Roman" w:hAnsi="Times New Roman" w:cs="Times New Roman"/>
          <w:sz w:val="24"/>
          <w:szCs w:val="24"/>
        </w:rPr>
      </w:pPr>
      <w:r w:rsidRPr="009918B3">
        <w:rPr>
          <w:rFonts w:ascii="Times New Roman" w:hAnsi="Times New Roman" w:cs="Times New Roman"/>
          <w:sz w:val="24"/>
          <w:szCs w:val="24"/>
        </w:rPr>
        <w:t xml:space="preserve">Infatti, nel breve volgere di un anno il mercato da riferimento non è cambiato; anche la legge di gara della procedura qui in esame prevede quale elemento di valutazione dell’offerta l’esperienza pregressa dell’offerente; </w:t>
      </w:r>
      <w:r w:rsidRPr="009918B3">
        <w:rPr>
          <w:rFonts w:ascii="Times New Roman" w:hAnsi="Times New Roman" w:cs="Times New Roman"/>
          <w:b/>
          <w:bCs/>
          <w:sz w:val="24"/>
          <w:szCs w:val="24"/>
        </w:rPr>
        <w:t>la nuova disciplina nelle more intervenuta (</w:t>
      </w:r>
      <w:proofErr w:type="spellStart"/>
      <w:r w:rsidRPr="009918B3">
        <w:rPr>
          <w:rFonts w:ascii="Times New Roman" w:hAnsi="Times New Roman" w:cs="Times New Roman"/>
          <w:b/>
          <w:bCs/>
          <w:sz w:val="24"/>
          <w:szCs w:val="24"/>
        </w:rPr>
        <w:t>D.Lgs.</w:t>
      </w:r>
      <w:proofErr w:type="spellEnd"/>
      <w:r w:rsidRPr="009918B3">
        <w:rPr>
          <w:rFonts w:ascii="Times New Roman" w:hAnsi="Times New Roman" w:cs="Times New Roman"/>
          <w:b/>
          <w:bCs/>
          <w:sz w:val="24"/>
          <w:szCs w:val="24"/>
        </w:rPr>
        <w:t xml:space="preserve"> n. 36/2023 al posto del </w:t>
      </w:r>
      <w:proofErr w:type="spellStart"/>
      <w:r w:rsidRPr="009918B3">
        <w:rPr>
          <w:rFonts w:ascii="Times New Roman" w:hAnsi="Times New Roman" w:cs="Times New Roman"/>
          <w:b/>
          <w:bCs/>
          <w:sz w:val="24"/>
          <w:szCs w:val="24"/>
        </w:rPr>
        <w:t>D.Lgs.</w:t>
      </w:r>
      <w:proofErr w:type="spellEnd"/>
      <w:r w:rsidRPr="009918B3">
        <w:rPr>
          <w:rFonts w:ascii="Times New Roman" w:hAnsi="Times New Roman" w:cs="Times New Roman"/>
          <w:b/>
          <w:bCs/>
          <w:sz w:val="24"/>
          <w:szCs w:val="24"/>
        </w:rPr>
        <w:t xml:space="preserve"> n. 50/2016) non ha innovato in punto di discrezionalità della stazione appaltante nel fissare i requisiti di partecipazione alle gare</w:t>
      </w:r>
      <w:r w:rsidRPr="009918B3">
        <w:rPr>
          <w:rFonts w:ascii="Times New Roman" w:hAnsi="Times New Roman" w:cs="Times New Roman"/>
          <w:sz w:val="24"/>
          <w:szCs w:val="24"/>
        </w:rPr>
        <w:t>.</w:t>
      </w:r>
    </w:p>
    <w:p w14:paraId="0D2DE978" w14:textId="77777777" w:rsidR="002E458B" w:rsidRDefault="002E458B" w:rsidP="002E458B">
      <w:pPr>
        <w:jc w:val="both"/>
        <w:rPr>
          <w:rFonts w:ascii="Times New Roman" w:hAnsi="Times New Roman" w:cs="Times New Roman"/>
          <w:sz w:val="24"/>
          <w:szCs w:val="24"/>
        </w:rPr>
      </w:pPr>
      <w:r>
        <w:rPr>
          <w:rFonts w:ascii="Times New Roman" w:hAnsi="Times New Roman" w:cs="Times New Roman"/>
          <w:sz w:val="24"/>
          <w:szCs w:val="24"/>
        </w:rPr>
        <w:t xml:space="preserve">____________________  </w:t>
      </w:r>
    </w:p>
    <w:p w14:paraId="35625771" w14:textId="77777777" w:rsidR="002E458B" w:rsidRPr="003C72D6" w:rsidRDefault="002E458B" w:rsidP="002E458B">
      <w:pPr>
        <w:jc w:val="both"/>
        <w:rPr>
          <w:rFonts w:ascii="Times New Roman" w:hAnsi="Times New Roman" w:cs="Times New Roman"/>
          <w:b/>
          <w:bCs/>
          <w:sz w:val="24"/>
          <w:szCs w:val="24"/>
        </w:rPr>
      </w:pPr>
      <w:r w:rsidRPr="003C72D6">
        <w:rPr>
          <w:rFonts w:ascii="Times New Roman" w:hAnsi="Times New Roman" w:cs="Times New Roman"/>
          <w:b/>
          <w:bCs/>
          <w:sz w:val="24"/>
          <w:szCs w:val="24"/>
        </w:rPr>
        <w:t>Tar Calabria, Catanzaro, Sez. I, 31.01.2025, n. 199</w:t>
      </w:r>
    </w:p>
    <w:p w14:paraId="18C16265" w14:textId="77777777" w:rsidR="002E458B" w:rsidRDefault="002E458B" w:rsidP="002E458B">
      <w:pPr>
        <w:jc w:val="both"/>
        <w:rPr>
          <w:rFonts w:ascii="Times New Roman" w:hAnsi="Times New Roman" w:cs="Times New Roman"/>
          <w:b/>
          <w:bCs/>
          <w:i/>
          <w:iCs/>
          <w:sz w:val="24"/>
          <w:szCs w:val="24"/>
        </w:rPr>
      </w:pPr>
      <w:r w:rsidRPr="003C72D6">
        <w:rPr>
          <w:rFonts w:ascii="Times New Roman" w:hAnsi="Times New Roman" w:cs="Times New Roman"/>
          <w:b/>
          <w:bCs/>
          <w:i/>
          <w:iCs/>
          <w:sz w:val="24"/>
          <w:szCs w:val="24"/>
        </w:rPr>
        <w:t xml:space="preserve">Sulla </w:t>
      </w:r>
      <w:r>
        <w:rPr>
          <w:rFonts w:ascii="Times New Roman" w:hAnsi="Times New Roman" w:cs="Times New Roman"/>
          <w:b/>
          <w:bCs/>
          <w:i/>
          <w:iCs/>
          <w:sz w:val="24"/>
          <w:szCs w:val="24"/>
        </w:rPr>
        <w:t>discrezionalità della Stazione appaltante di prevedere requisiti speciali più stringenti rispetto a quelli previsti dall’art. 100</w:t>
      </w:r>
    </w:p>
    <w:p w14:paraId="4DE87616" w14:textId="77777777" w:rsidR="002E458B" w:rsidRPr="009F221E" w:rsidRDefault="002E458B" w:rsidP="002E458B">
      <w:pPr>
        <w:jc w:val="both"/>
        <w:rPr>
          <w:rFonts w:ascii="Times New Roman" w:hAnsi="Times New Roman" w:cs="Times New Roman"/>
          <w:sz w:val="24"/>
          <w:szCs w:val="24"/>
        </w:rPr>
      </w:pPr>
      <w:r w:rsidRPr="009F221E">
        <w:rPr>
          <w:rFonts w:ascii="Times New Roman" w:hAnsi="Times New Roman" w:cs="Times New Roman"/>
          <w:sz w:val="24"/>
          <w:szCs w:val="24"/>
        </w:rPr>
        <w:lastRenderedPageBreak/>
        <w:t>Secondo il condivisibile insegnamento giurisprudenza amministrativa (</w:t>
      </w:r>
      <w:proofErr w:type="spellStart"/>
      <w:r w:rsidRPr="009F221E">
        <w:rPr>
          <w:rFonts w:ascii="Times New Roman" w:hAnsi="Times New Roman" w:cs="Times New Roman"/>
          <w:sz w:val="24"/>
          <w:szCs w:val="24"/>
        </w:rPr>
        <w:t>vds</w:t>
      </w:r>
      <w:proofErr w:type="spellEnd"/>
      <w:r w:rsidRPr="009F221E">
        <w:rPr>
          <w:rFonts w:ascii="Times New Roman" w:hAnsi="Times New Roman" w:cs="Times New Roman"/>
          <w:sz w:val="24"/>
          <w:szCs w:val="24"/>
        </w:rPr>
        <w:t xml:space="preserve">. Consiglio di Stato, Sez. IV, </w:t>
      </w:r>
      <w:proofErr w:type="gramStart"/>
      <w:r w:rsidRPr="009F221E">
        <w:rPr>
          <w:rFonts w:ascii="Times New Roman" w:hAnsi="Times New Roman" w:cs="Times New Roman"/>
          <w:sz w:val="24"/>
          <w:szCs w:val="24"/>
        </w:rPr>
        <w:t>1 febbraio</w:t>
      </w:r>
      <w:proofErr w:type="gramEnd"/>
      <w:r w:rsidRPr="009F221E">
        <w:rPr>
          <w:rFonts w:ascii="Times New Roman" w:hAnsi="Times New Roman" w:cs="Times New Roman"/>
          <w:sz w:val="24"/>
          <w:szCs w:val="24"/>
        </w:rPr>
        <w:t xml:space="preserve"> 2024, n. 1048) </w:t>
      </w:r>
      <w:r w:rsidRPr="009F221E">
        <w:rPr>
          <w:rFonts w:ascii="Times New Roman" w:hAnsi="Times New Roman" w:cs="Times New Roman"/>
          <w:b/>
          <w:bCs/>
          <w:sz w:val="24"/>
          <w:szCs w:val="24"/>
        </w:rPr>
        <w:t>la facoltà della stazione appaltante di prevedere determinati requisiti di capacità professionale, nei limiti di ragionevolezza e proporzionalità, è stabilita sia dal previgente</w:t>
      </w:r>
      <w:r w:rsidRPr="009F221E">
        <w:rPr>
          <w:rFonts w:ascii="Times New Roman" w:hAnsi="Times New Roman" w:cs="Times New Roman"/>
          <w:sz w:val="24"/>
          <w:szCs w:val="24"/>
        </w:rPr>
        <w:t xml:space="preserve"> (art. 83, comma 2, del D.lgs. 18 aprile 2016, n. 50) </w:t>
      </w:r>
      <w:r w:rsidRPr="009F221E">
        <w:rPr>
          <w:rFonts w:ascii="Times New Roman" w:hAnsi="Times New Roman" w:cs="Times New Roman"/>
          <w:b/>
          <w:bCs/>
          <w:sz w:val="24"/>
          <w:szCs w:val="24"/>
        </w:rPr>
        <w:t>che dall’attuale codice dei contratti</w:t>
      </w:r>
      <w:r w:rsidRPr="009F221E">
        <w:rPr>
          <w:rFonts w:ascii="Times New Roman" w:hAnsi="Times New Roman" w:cs="Times New Roman"/>
          <w:sz w:val="24"/>
          <w:szCs w:val="24"/>
        </w:rPr>
        <w:t xml:space="preserve"> (art. 10</w:t>
      </w:r>
      <w:r>
        <w:rPr>
          <w:rFonts w:ascii="Times New Roman" w:hAnsi="Times New Roman" w:cs="Times New Roman"/>
          <w:sz w:val="24"/>
          <w:szCs w:val="24"/>
        </w:rPr>
        <w:t>0</w:t>
      </w:r>
      <w:r w:rsidRPr="009F221E">
        <w:rPr>
          <w:rFonts w:ascii="Times New Roman" w:hAnsi="Times New Roman" w:cs="Times New Roman"/>
          <w:sz w:val="24"/>
          <w:szCs w:val="24"/>
        </w:rPr>
        <w:t>, comma 3, D. Lgs. 31 marzo 2023, n. 36), in attuazione del principio, dapprima affermato dalla Corte di giustizia (17 settembre 2002, in causa C-513/99), poi trasfuso della direttiva 2014/24/UE laddove si prevede, con riferimento alle capacità tecniche e professionali, che “</w:t>
      </w:r>
      <w:r w:rsidRPr="009F221E">
        <w:rPr>
          <w:rFonts w:ascii="Times New Roman" w:hAnsi="Times New Roman" w:cs="Times New Roman"/>
          <w:i/>
          <w:iCs/>
          <w:sz w:val="24"/>
          <w:szCs w:val="24"/>
        </w:rPr>
        <w:t>le amministrazioni aggiudicatrici possono imporre requisiti per garantire che gli operatori economici possiedano le risorse umane e tecniche e l'esperienza necessarie per eseguire l'appalto con un adeguato standard di qualità</w:t>
      </w:r>
      <w:r w:rsidRPr="009F221E">
        <w:rPr>
          <w:rFonts w:ascii="Times New Roman" w:hAnsi="Times New Roman" w:cs="Times New Roman"/>
          <w:sz w:val="24"/>
          <w:szCs w:val="24"/>
        </w:rPr>
        <w:t>” (art. 58, paragrafo 4), confermando l’impostazione secondo la quale la pubblica amministrazione ha interesse ad incentivare la partecipazione alle gare di soggetti particolarmente qualificati, che garantiscano elevati standard qualitativi al fine di svolgere al meglio le prestazioni oggetto di gara.</w:t>
      </w:r>
    </w:p>
    <w:p w14:paraId="6A070913" w14:textId="77777777" w:rsidR="002E458B" w:rsidRPr="009F221E" w:rsidRDefault="002E458B" w:rsidP="002E458B">
      <w:pPr>
        <w:jc w:val="both"/>
        <w:rPr>
          <w:rFonts w:ascii="Times New Roman" w:hAnsi="Times New Roman" w:cs="Times New Roman"/>
          <w:sz w:val="24"/>
          <w:szCs w:val="24"/>
        </w:rPr>
      </w:pPr>
      <w:r w:rsidRPr="009F221E">
        <w:rPr>
          <w:rFonts w:ascii="Times New Roman" w:hAnsi="Times New Roman" w:cs="Times New Roman"/>
          <w:sz w:val="24"/>
          <w:szCs w:val="24"/>
        </w:rPr>
        <w:t xml:space="preserve">A tale scopo, all’Amministrazione è garantita un’ampia discrezionalità nell’individuazione dei requisiti tecnici, </w:t>
      </w:r>
      <w:r w:rsidRPr="009F221E">
        <w:rPr>
          <w:rFonts w:ascii="Times New Roman" w:hAnsi="Times New Roman" w:cs="Times New Roman"/>
          <w:b/>
          <w:bCs/>
          <w:sz w:val="24"/>
          <w:szCs w:val="24"/>
        </w:rPr>
        <w:t>ancorché più severi rispetto a quelli normativamente stabiliti</w:t>
      </w:r>
      <w:r w:rsidRPr="009F221E">
        <w:rPr>
          <w:rFonts w:ascii="Times New Roman" w:hAnsi="Times New Roman" w:cs="Times New Roman"/>
          <w:sz w:val="24"/>
          <w:szCs w:val="24"/>
        </w:rPr>
        <w:t>, purché la loro previsione sia correlata a circostanze giustificate e risulti funzionale rispetto all’interesse pubblico perseguito (Cons. Stato sez. III, 17 novembre 2020, n.7138; Corte di giustizia, 31 marzo 2022, in causa C-195/21; Cons. Stato, sez. IV, 25 maggio 2023, n. 2992).</w:t>
      </w:r>
    </w:p>
    <w:p w14:paraId="2AF40B00" w14:textId="77777777" w:rsidR="002E458B" w:rsidRDefault="002E458B" w:rsidP="002E458B">
      <w:pPr>
        <w:jc w:val="both"/>
        <w:rPr>
          <w:rFonts w:ascii="Times New Roman" w:hAnsi="Times New Roman" w:cs="Times New Roman"/>
          <w:b/>
          <w:bCs/>
          <w:i/>
          <w:iCs/>
          <w:sz w:val="24"/>
          <w:szCs w:val="24"/>
        </w:rPr>
      </w:pPr>
      <w:r w:rsidRPr="009F221E">
        <w:rPr>
          <w:rFonts w:ascii="Times New Roman" w:hAnsi="Times New Roman" w:cs="Times New Roman"/>
          <w:b/>
          <w:bCs/>
          <w:i/>
          <w:iCs/>
          <w:sz w:val="24"/>
          <w:szCs w:val="24"/>
        </w:rPr>
        <w:t>Sul servizio di punta</w:t>
      </w:r>
    </w:p>
    <w:p w14:paraId="6F56C475" w14:textId="77777777" w:rsidR="002E458B" w:rsidRDefault="002E458B" w:rsidP="002E458B">
      <w:pPr>
        <w:jc w:val="both"/>
        <w:rPr>
          <w:rFonts w:ascii="Times New Roman" w:hAnsi="Times New Roman" w:cs="Times New Roman"/>
          <w:sz w:val="24"/>
          <w:szCs w:val="24"/>
        </w:rPr>
      </w:pPr>
      <w:r>
        <w:rPr>
          <w:rFonts w:ascii="Times New Roman" w:hAnsi="Times New Roman" w:cs="Times New Roman"/>
          <w:sz w:val="24"/>
          <w:szCs w:val="24"/>
        </w:rPr>
        <w:t>I</w:t>
      </w:r>
      <w:r w:rsidRPr="009F221E">
        <w:rPr>
          <w:rFonts w:ascii="Times New Roman" w:hAnsi="Times New Roman" w:cs="Times New Roman"/>
          <w:sz w:val="24"/>
          <w:szCs w:val="24"/>
        </w:rPr>
        <w:t xml:space="preserve">l c.d. contratto o servizio di punta l’amministrazione committente intende assicurarsi </w:t>
      </w:r>
      <w:r w:rsidRPr="009F221E">
        <w:rPr>
          <w:rFonts w:ascii="Times New Roman" w:hAnsi="Times New Roman" w:cs="Times New Roman"/>
          <w:b/>
          <w:bCs/>
          <w:sz w:val="24"/>
          <w:szCs w:val="24"/>
        </w:rPr>
        <w:t>l’elevata capacità tecnico-professionale del concorrente, sia economica che organizzativa</w:t>
      </w:r>
      <w:r w:rsidRPr="009F221E">
        <w:rPr>
          <w:rFonts w:ascii="Times New Roman" w:hAnsi="Times New Roman" w:cs="Times New Roman"/>
          <w:sz w:val="24"/>
          <w:szCs w:val="24"/>
        </w:rPr>
        <w:t xml:space="preserve">, in quanto attesta una esperienza qualificata nell’ambito dello specifico servizio messo a gara; ciò è consentito dal principio secondo cui la stazione appaltante fissa </w:t>
      </w:r>
      <w:r w:rsidRPr="009F221E">
        <w:rPr>
          <w:rFonts w:ascii="Times New Roman" w:hAnsi="Times New Roman" w:cs="Times New Roman"/>
          <w:b/>
          <w:bCs/>
          <w:sz w:val="24"/>
          <w:szCs w:val="24"/>
        </w:rPr>
        <w:t>discrezionalmente i criteri di partecipazione sulla base dell’attinenza e della proporzionalità</w:t>
      </w:r>
      <w:r w:rsidRPr="009F221E">
        <w:rPr>
          <w:rFonts w:ascii="Times New Roman" w:hAnsi="Times New Roman" w:cs="Times New Roman"/>
          <w:sz w:val="24"/>
          <w:szCs w:val="24"/>
        </w:rPr>
        <w:t xml:space="preserve"> rispetto all’oggetto dell’appalto, per assicurare la più ampia partecipazione di potenziali interessati (</w:t>
      </w:r>
      <w:proofErr w:type="spellStart"/>
      <w:r w:rsidRPr="009F221E">
        <w:rPr>
          <w:rFonts w:ascii="Times New Roman" w:hAnsi="Times New Roman" w:cs="Times New Roman"/>
          <w:sz w:val="24"/>
          <w:szCs w:val="24"/>
        </w:rPr>
        <w:t>vds</w:t>
      </w:r>
      <w:proofErr w:type="spellEnd"/>
      <w:r w:rsidRPr="009F221E">
        <w:rPr>
          <w:rFonts w:ascii="Times New Roman" w:hAnsi="Times New Roman" w:cs="Times New Roman"/>
          <w:sz w:val="24"/>
          <w:szCs w:val="24"/>
        </w:rPr>
        <w:t xml:space="preserve"> art. 100, comma 2, del D. Lgs. 31 marzo 2023, n. 36).</w:t>
      </w:r>
      <w:r>
        <w:rPr>
          <w:rFonts w:ascii="Times New Roman" w:hAnsi="Times New Roman" w:cs="Times New Roman"/>
          <w:sz w:val="24"/>
          <w:szCs w:val="24"/>
        </w:rPr>
        <w:t xml:space="preserve"> </w:t>
      </w:r>
      <w:r w:rsidRPr="009F221E">
        <w:rPr>
          <w:rFonts w:ascii="Times New Roman" w:hAnsi="Times New Roman" w:cs="Times New Roman"/>
          <w:sz w:val="24"/>
          <w:szCs w:val="24"/>
        </w:rPr>
        <w:t xml:space="preserve">Come precisato in via pretoria, </w:t>
      </w:r>
      <w:r w:rsidRPr="009F221E">
        <w:rPr>
          <w:rFonts w:ascii="Times New Roman" w:hAnsi="Times New Roman" w:cs="Times New Roman"/>
          <w:b/>
          <w:bCs/>
          <w:sz w:val="24"/>
          <w:szCs w:val="24"/>
        </w:rPr>
        <w:t xml:space="preserve">il requisito “di punta” costituisce espressione della necessità di una qualifica funzionale </w:t>
      </w:r>
      <w:r w:rsidRPr="009F221E">
        <w:rPr>
          <w:rFonts w:ascii="Times New Roman" w:hAnsi="Times New Roman" w:cs="Times New Roman"/>
          <w:b/>
          <w:bCs/>
          <w:sz w:val="24"/>
          <w:szCs w:val="24"/>
          <w:u w:val="single"/>
        </w:rPr>
        <w:t>indivisibile</w:t>
      </w:r>
      <w:r w:rsidRPr="009F221E">
        <w:rPr>
          <w:rFonts w:ascii="Times New Roman" w:hAnsi="Times New Roman" w:cs="Times New Roman"/>
          <w:sz w:val="24"/>
          <w:szCs w:val="24"/>
        </w:rPr>
        <w:t xml:space="preserve"> in capo all’operatore affidatario dell’appalto, attestante un’esperienza di particolare pregnanza nello specifico settore oggetto della gara</w:t>
      </w:r>
      <w:r>
        <w:rPr>
          <w:rFonts w:ascii="Times New Roman" w:hAnsi="Times New Roman" w:cs="Times New Roman"/>
          <w:sz w:val="24"/>
          <w:szCs w:val="24"/>
        </w:rPr>
        <w:t>.</w:t>
      </w:r>
    </w:p>
    <w:p w14:paraId="6EBBA4F4" w14:textId="77777777" w:rsidR="002E458B" w:rsidRDefault="002E458B" w:rsidP="002E458B">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____________________________ </w:t>
      </w:r>
    </w:p>
    <w:p w14:paraId="003901BB" w14:textId="4E31E91F" w:rsidR="00031E46" w:rsidRPr="002E458B" w:rsidRDefault="002E458B" w:rsidP="002E458B">
      <w:pPr>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AVVALIMENTO – ART. 104 -</w:t>
      </w:r>
    </w:p>
    <w:p w14:paraId="0E7C9293" w14:textId="708761DD" w:rsidR="005771DD" w:rsidRDefault="005771DD" w:rsidP="00E344F9">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Sull’avvalimento alla luce del </w:t>
      </w:r>
      <w:proofErr w:type="spellStart"/>
      <w:r>
        <w:rPr>
          <w:rFonts w:ascii="Times New Roman" w:hAnsi="Times New Roman" w:cs="Times New Roman"/>
          <w:b/>
          <w:bCs/>
          <w:sz w:val="24"/>
          <w:szCs w:val="24"/>
        </w:rPr>
        <w:t>dlgs</w:t>
      </w:r>
      <w:proofErr w:type="spellEnd"/>
      <w:r>
        <w:rPr>
          <w:rFonts w:ascii="Times New Roman" w:hAnsi="Times New Roman" w:cs="Times New Roman"/>
          <w:b/>
          <w:bCs/>
          <w:sz w:val="24"/>
          <w:szCs w:val="24"/>
        </w:rPr>
        <w:t xml:space="preserve"> n. 36/2023</w:t>
      </w:r>
    </w:p>
    <w:p w14:paraId="6234D21A" w14:textId="2956BCDC" w:rsidR="005771DD" w:rsidRPr="005771DD" w:rsidRDefault="005771DD" w:rsidP="00E344F9">
      <w:pPr>
        <w:spacing w:after="0"/>
        <w:jc w:val="both"/>
        <w:rPr>
          <w:rFonts w:ascii="Times New Roman" w:hAnsi="Times New Roman" w:cs="Times New Roman"/>
          <w:sz w:val="24"/>
          <w:szCs w:val="24"/>
        </w:rPr>
      </w:pPr>
      <w:r w:rsidRPr="005771DD">
        <w:rPr>
          <w:rFonts w:ascii="Times New Roman" w:hAnsi="Times New Roman" w:cs="Times New Roman"/>
          <w:sz w:val="24"/>
          <w:szCs w:val="24"/>
        </w:rPr>
        <w:t>Va osservato che nell’impostazione del nuovo Codice dei contratti pubblici, come si legge nella stessa Relazione di accompagnamento, la disciplina dell’avvalimento è caratterizzata da un vero e proprio cambio di impostazione. Il risultato di tale cambio di impostazione è:</w:t>
      </w:r>
      <w:r w:rsidRPr="005771DD">
        <w:rPr>
          <w:rFonts w:ascii="Times New Roman" w:hAnsi="Times New Roman" w:cs="Times New Roman"/>
          <w:sz w:val="24"/>
          <w:szCs w:val="24"/>
        </w:rPr>
        <w:br/>
        <w:t xml:space="preserve">a) </w:t>
      </w:r>
      <w:r w:rsidRPr="005771DD">
        <w:rPr>
          <w:rFonts w:ascii="Times New Roman" w:hAnsi="Times New Roman" w:cs="Times New Roman"/>
          <w:b/>
          <w:bCs/>
          <w:sz w:val="24"/>
          <w:szCs w:val="24"/>
        </w:rPr>
        <w:t>l’indicazione del tipo contrattuale dell’avvalimento</w:t>
      </w:r>
      <w:r w:rsidRPr="005771DD">
        <w:rPr>
          <w:rFonts w:ascii="Times New Roman" w:hAnsi="Times New Roman" w:cs="Times New Roman"/>
          <w:sz w:val="24"/>
          <w:szCs w:val="24"/>
        </w:rPr>
        <w:t>, contratto rientrante nella categoria dei contratti di prestito con il quale un concorrente a una procedura di aggiudicazione può acquisire la disponibilità di risorse tecniche e umane altrui per eseguire il contratto;</w:t>
      </w:r>
      <w:r w:rsidRPr="005771DD">
        <w:rPr>
          <w:rFonts w:ascii="Times New Roman" w:hAnsi="Times New Roman" w:cs="Times New Roman"/>
          <w:sz w:val="24"/>
          <w:szCs w:val="24"/>
        </w:rPr>
        <w:br/>
        <w:t xml:space="preserve">b) la previsione della </w:t>
      </w:r>
      <w:r w:rsidRPr="005771DD">
        <w:rPr>
          <w:rFonts w:ascii="Times New Roman" w:hAnsi="Times New Roman" w:cs="Times New Roman"/>
          <w:b/>
          <w:bCs/>
          <w:sz w:val="24"/>
          <w:szCs w:val="24"/>
        </w:rPr>
        <w:t>normale onerosità del contratto</w:t>
      </w:r>
      <w:r w:rsidRPr="005771DD">
        <w:rPr>
          <w:rFonts w:ascii="Times New Roman" w:hAnsi="Times New Roman" w:cs="Times New Roman"/>
          <w:sz w:val="24"/>
          <w:szCs w:val="24"/>
        </w:rPr>
        <w:t xml:space="preserve"> con l’ammissione, comunque, della gratuità nel caso in cui essa corrisponda anche a un interesse proprio dell’impresa ausiliaria;</w:t>
      </w:r>
      <w:r w:rsidRPr="005771DD">
        <w:rPr>
          <w:rFonts w:ascii="Times New Roman" w:hAnsi="Times New Roman" w:cs="Times New Roman"/>
          <w:sz w:val="24"/>
          <w:szCs w:val="24"/>
        </w:rPr>
        <w:br/>
        <w:t xml:space="preserve">c) l’attenzione incentrata sul contratto di avvalimento, anziché sul prestito dei requisiti, che ha consentito di ricomprendere nell’ambito dell’avvalimento anche quella particolare figura indicata come </w:t>
      </w:r>
      <w:r w:rsidRPr="005771DD">
        <w:rPr>
          <w:rFonts w:ascii="Times New Roman" w:hAnsi="Times New Roman" w:cs="Times New Roman"/>
          <w:b/>
          <w:bCs/>
          <w:sz w:val="24"/>
          <w:szCs w:val="24"/>
        </w:rPr>
        <w:t>avvalimento premiale</w:t>
      </w:r>
      <w:r w:rsidRPr="005771DD">
        <w:rPr>
          <w:rFonts w:ascii="Times New Roman" w:hAnsi="Times New Roman" w:cs="Times New Roman"/>
          <w:sz w:val="24"/>
          <w:szCs w:val="24"/>
        </w:rPr>
        <w:t>, in cui il prestito delle risorse è diretto a ottenere un punteggio più elevato e non invece il prestito dei requisiti di capacità mancanti.</w:t>
      </w:r>
    </w:p>
    <w:p w14:paraId="46115BF6" w14:textId="19AC591A" w:rsidR="005771DD" w:rsidRDefault="005771DD" w:rsidP="00E344F9">
      <w:pPr>
        <w:spacing w:after="0"/>
        <w:jc w:val="both"/>
        <w:rPr>
          <w:rFonts w:ascii="Times New Roman" w:hAnsi="Times New Roman" w:cs="Times New Roman"/>
          <w:b/>
          <w:bCs/>
          <w:sz w:val="24"/>
          <w:szCs w:val="24"/>
        </w:rPr>
      </w:pPr>
      <w:r>
        <w:rPr>
          <w:rFonts w:ascii="Times New Roman" w:hAnsi="Times New Roman" w:cs="Times New Roman"/>
          <w:b/>
          <w:bCs/>
          <w:sz w:val="24"/>
          <w:szCs w:val="24"/>
        </w:rPr>
        <w:t>_______________________________</w:t>
      </w:r>
    </w:p>
    <w:p w14:paraId="360CBB8E" w14:textId="77777777" w:rsidR="005771DD" w:rsidRDefault="005771DD" w:rsidP="00E344F9">
      <w:pPr>
        <w:spacing w:after="0"/>
        <w:jc w:val="both"/>
        <w:rPr>
          <w:rFonts w:ascii="Times New Roman" w:hAnsi="Times New Roman" w:cs="Times New Roman"/>
          <w:b/>
          <w:bCs/>
          <w:sz w:val="24"/>
          <w:szCs w:val="24"/>
        </w:rPr>
      </w:pPr>
    </w:p>
    <w:p w14:paraId="42E5177D" w14:textId="5C0FB8E3" w:rsidR="00FC6FDF" w:rsidRPr="00FC6FDF" w:rsidRDefault="00E344F9" w:rsidP="00E344F9">
      <w:pPr>
        <w:spacing w:after="0"/>
        <w:jc w:val="both"/>
        <w:rPr>
          <w:rFonts w:ascii="Times New Roman" w:hAnsi="Times New Roman" w:cs="Times New Roman"/>
          <w:b/>
          <w:bCs/>
          <w:sz w:val="24"/>
          <w:szCs w:val="24"/>
        </w:rPr>
      </w:pPr>
      <w:r>
        <w:rPr>
          <w:rFonts w:ascii="Times New Roman" w:hAnsi="Times New Roman" w:cs="Times New Roman"/>
          <w:b/>
          <w:bCs/>
          <w:sz w:val="24"/>
          <w:szCs w:val="24"/>
        </w:rPr>
        <w:t>Cons. Stato, Sez. V, 10.02.2025, n. 1065</w:t>
      </w:r>
    </w:p>
    <w:p w14:paraId="2A6D1299" w14:textId="1D4388D5" w:rsidR="009918B3" w:rsidRPr="00FC6FDF" w:rsidRDefault="00FC6FDF" w:rsidP="00E344F9">
      <w:pPr>
        <w:spacing w:after="0"/>
        <w:jc w:val="both"/>
        <w:rPr>
          <w:rFonts w:ascii="Times New Roman" w:hAnsi="Times New Roman" w:cs="Times New Roman"/>
          <w:b/>
          <w:bCs/>
          <w:i/>
          <w:iCs/>
          <w:sz w:val="24"/>
          <w:szCs w:val="24"/>
        </w:rPr>
      </w:pPr>
      <w:r w:rsidRPr="00FC6FDF">
        <w:rPr>
          <w:rFonts w:ascii="Times New Roman" w:hAnsi="Times New Roman" w:cs="Times New Roman"/>
          <w:b/>
          <w:bCs/>
          <w:i/>
          <w:iCs/>
          <w:sz w:val="24"/>
          <w:szCs w:val="24"/>
        </w:rPr>
        <w:t>Sulla differenza tra avvalimento operativo e di garanzia</w:t>
      </w:r>
    </w:p>
    <w:p w14:paraId="01FC7C8A" w14:textId="01BAB4A9" w:rsidR="00FC6FDF" w:rsidRDefault="00FC6FDF" w:rsidP="00671497">
      <w:pPr>
        <w:jc w:val="both"/>
        <w:rPr>
          <w:rFonts w:ascii="Times New Roman" w:hAnsi="Times New Roman" w:cs="Times New Roman"/>
          <w:sz w:val="24"/>
          <w:szCs w:val="24"/>
        </w:rPr>
      </w:pPr>
      <w:r w:rsidRPr="00FC6FDF">
        <w:rPr>
          <w:rFonts w:ascii="Times New Roman" w:hAnsi="Times New Roman" w:cs="Times New Roman"/>
          <w:sz w:val="24"/>
          <w:szCs w:val="24"/>
        </w:rPr>
        <w:t xml:space="preserve">Occorre d’altro canto dare conto della </w:t>
      </w:r>
      <w:r w:rsidRPr="00FC6FDF">
        <w:rPr>
          <w:rFonts w:ascii="Times New Roman" w:hAnsi="Times New Roman" w:cs="Times New Roman"/>
          <w:b/>
          <w:bCs/>
          <w:sz w:val="24"/>
          <w:szCs w:val="24"/>
        </w:rPr>
        <w:t>distinzione tra avvalimento di garanzia e avvalimento operativo</w:t>
      </w:r>
      <w:r w:rsidRPr="00FC6FDF">
        <w:rPr>
          <w:rFonts w:ascii="Times New Roman" w:hAnsi="Times New Roman" w:cs="Times New Roman"/>
          <w:sz w:val="24"/>
          <w:szCs w:val="24"/>
        </w:rPr>
        <w:t xml:space="preserve">, la quale orienta l’interpretazione dell’art. 89, comma 1, del d.lgs. n. 50 del 2016. E infatti, a differenza </w:t>
      </w:r>
      <w:r w:rsidRPr="00FC6FDF">
        <w:rPr>
          <w:rFonts w:ascii="Times New Roman" w:hAnsi="Times New Roman" w:cs="Times New Roman"/>
          <w:b/>
          <w:bCs/>
          <w:sz w:val="24"/>
          <w:szCs w:val="24"/>
        </w:rPr>
        <w:t>dell’avvalimento operativo, quello di garanzia non richiede necessariamente il coinvolgimento di aspetti specifici dell’organizzazione dell’impresa</w:t>
      </w:r>
      <w:r w:rsidRPr="00FC6FDF">
        <w:rPr>
          <w:rFonts w:ascii="Times New Roman" w:hAnsi="Times New Roman" w:cs="Times New Roman"/>
          <w:sz w:val="24"/>
          <w:szCs w:val="24"/>
        </w:rPr>
        <w:t xml:space="preserve">, ed assolve alla </w:t>
      </w:r>
      <w:r w:rsidRPr="00FC6FDF">
        <w:rPr>
          <w:rFonts w:ascii="Times New Roman" w:hAnsi="Times New Roman" w:cs="Times New Roman"/>
          <w:b/>
          <w:bCs/>
          <w:sz w:val="24"/>
          <w:szCs w:val="24"/>
        </w:rPr>
        <w:t>funzione di garantire</w:t>
      </w:r>
      <w:r w:rsidRPr="00FC6FDF">
        <w:rPr>
          <w:rFonts w:ascii="Times New Roman" w:hAnsi="Times New Roman" w:cs="Times New Roman"/>
          <w:sz w:val="24"/>
          <w:szCs w:val="24"/>
        </w:rPr>
        <w:t xml:space="preserve"> l’impresa </w:t>
      </w:r>
      <w:proofErr w:type="spellStart"/>
      <w:r w:rsidRPr="00FC6FDF">
        <w:rPr>
          <w:rFonts w:ascii="Times New Roman" w:hAnsi="Times New Roman" w:cs="Times New Roman"/>
          <w:sz w:val="24"/>
          <w:szCs w:val="24"/>
        </w:rPr>
        <w:t>ausiliata</w:t>
      </w:r>
      <w:proofErr w:type="spellEnd"/>
      <w:r w:rsidRPr="00FC6FDF">
        <w:rPr>
          <w:rFonts w:ascii="Times New Roman" w:hAnsi="Times New Roman" w:cs="Times New Roman"/>
          <w:sz w:val="24"/>
          <w:szCs w:val="24"/>
        </w:rPr>
        <w:t xml:space="preserve"> con le risorse economiche dell’ausiliaria, il cui indice è essenzialmente costituito dal fatturato, munendo così la prima di un requisito che altrimenti non avrebbe, consentendole di accedere alla gara mel rispetto delle condizioni richieste dal bando. </w:t>
      </w:r>
      <w:r w:rsidRPr="00FC6FDF">
        <w:rPr>
          <w:rFonts w:ascii="Times New Roman" w:hAnsi="Times New Roman" w:cs="Times New Roman"/>
          <w:b/>
          <w:bCs/>
          <w:sz w:val="24"/>
          <w:szCs w:val="24"/>
        </w:rPr>
        <w:t>La regola della puntuale indicazione, nel contratto di avvalimento, delle risorse in concreto prestate e della necessaria specificità della dichiarazione resa in tale senso trova applicazione nel caso di avvalimento operativo o tecnico</w:t>
      </w:r>
      <w:r w:rsidRPr="00FC6FDF">
        <w:rPr>
          <w:rFonts w:ascii="Times New Roman" w:hAnsi="Times New Roman" w:cs="Times New Roman"/>
          <w:sz w:val="24"/>
          <w:szCs w:val="24"/>
        </w:rPr>
        <w:t xml:space="preserve"> </w:t>
      </w:r>
      <w:r w:rsidRPr="00FC6FDF">
        <w:rPr>
          <w:rFonts w:ascii="Times New Roman" w:hAnsi="Times New Roman" w:cs="Times New Roman"/>
          <w:b/>
          <w:bCs/>
          <w:sz w:val="24"/>
          <w:szCs w:val="24"/>
        </w:rPr>
        <w:t>e non in quello di avvalimento di garanzia</w:t>
      </w:r>
      <w:r w:rsidRPr="00FC6FDF">
        <w:rPr>
          <w:rFonts w:ascii="Times New Roman" w:hAnsi="Times New Roman" w:cs="Times New Roman"/>
          <w:sz w:val="24"/>
          <w:szCs w:val="24"/>
        </w:rPr>
        <w:t xml:space="preserve">. In quest’ultimo caso non occorre </w:t>
      </w:r>
      <w:r w:rsidRPr="00FC6FDF">
        <w:rPr>
          <w:rFonts w:ascii="Times New Roman" w:hAnsi="Times New Roman" w:cs="Times New Roman"/>
          <w:b/>
          <w:bCs/>
          <w:sz w:val="24"/>
          <w:szCs w:val="24"/>
        </w:rPr>
        <w:t>la messa a disposizione di mezzi e risorse specificamente indicate nel contratto</w:t>
      </w:r>
      <w:r w:rsidRPr="00FC6FDF">
        <w:rPr>
          <w:rFonts w:ascii="Times New Roman" w:hAnsi="Times New Roman" w:cs="Times New Roman"/>
          <w:sz w:val="24"/>
          <w:szCs w:val="24"/>
        </w:rPr>
        <w:t>, atteso che con tale tipologia di avvalimento l’ausiliaria mette a disposizione dell’</w:t>
      </w:r>
      <w:proofErr w:type="spellStart"/>
      <w:r w:rsidRPr="00FC6FDF">
        <w:rPr>
          <w:rFonts w:ascii="Times New Roman" w:hAnsi="Times New Roman" w:cs="Times New Roman"/>
          <w:sz w:val="24"/>
          <w:szCs w:val="24"/>
        </w:rPr>
        <w:t>ausiliata</w:t>
      </w:r>
      <w:proofErr w:type="spellEnd"/>
      <w:r w:rsidRPr="00FC6FDF">
        <w:rPr>
          <w:rFonts w:ascii="Times New Roman" w:hAnsi="Times New Roman" w:cs="Times New Roman"/>
          <w:sz w:val="24"/>
          <w:szCs w:val="24"/>
        </w:rPr>
        <w:t xml:space="preserve"> la sua solidità economica e finanziaria, rassicurando la stazione appaltante delle sue capacità di affrontare gli impegni economici conseguenti al contratto d’appalto (Cons. Stato, V, 14 gennaio 2022, n. 257).</w:t>
      </w:r>
    </w:p>
    <w:p w14:paraId="02E64B3A" w14:textId="55DBD491" w:rsidR="00FC6FDF" w:rsidRPr="00E344F9" w:rsidRDefault="00FC6FDF" w:rsidP="00E344F9">
      <w:pPr>
        <w:spacing w:after="0"/>
        <w:jc w:val="both"/>
        <w:rPr>
          <w:rFonts w:ascii="Times New Roman" w:hAnsi="Times New Roman" w:cs="Times New Roman"/>
          <w:b/>
          <w:bCs/>
          <w:i/>
          <w:iCs/>
          <w:sz w:val="24"/>
          <w:szCs w:val="24"/>
        </w:rPr>
      </w:pPr>
      <w:r w:rsidRPr="00E344F9">
        <w:rPr>
          <w:rFonts w:ascii="Times New Roman" w:hAnsi="Times New Roman" w:cs="Times New Roman"/>
          <w:b/>
          <w:bCs/>
          <w:i/>
          <w:iCs/>
          <w:sz w:val="24"/>
          <w:szCs w:val="24"/>
        </w:rPr>
        <w:t xml:space="preserve">Sulla dichiarazione di </w:t>
      </w:r>
      <w:r w:rsidR="00E344F9">
        <w:rPr>
          <w:rFonts w:ascii="Times New Roman" w:hAnsi="Times New Roman" w:cs="Times New Roman"/>
          <w:b/>
          <w:bCs/>
          <w:i/>
          <w:iCs/>
          <w:sz w:val="24"/>
          <w:szCs w:val="24"/>
        </w:rPr>
        <w:t xml:space="preserve">assunzione della responsabilità solidale </w:t>
      </w:r>
      <w:r w:rsidR="00E344F9" w:rsidRPr="00E344F9">
        <w:rPr>
          <w:rFonts w:ascii="Times New Roman" w:hAnsi="Times New Roman" w:cs="Times New Roman"/>
          <w:b/>
          <w:bCs/>
          <w:i/>
          <w:iCs/>
          <w:sz w:val="24"/>
          <w:szCs w:val="24"/>
        </w:rPr>
        <w:t>contenuta nel contratto di avvalimento e non separatamente</w:t>
      </w:r>
    </w:p>
    <w:p w14:paraId="590A4DB4" w14:textId="64E3C71A" w:rsidR="00FC6FDF" w:rsidRDefault="00FC6FDF" w:rsidP="00E344F9">
      <w:pPr>
        <w:spacing w:after="0"/>
        <w:jc w:val="both"/>
        <w:rPr>
          <w:rFonts w:ascii="Times New Roman" w:hAnsi="Times New Roman" w:cs="Times New Roman"/>
          <w:sz w:val="24"/>
          <w:szCs w:val="24"/>
        </w:rPr>
      </w:pPr>
      <w:r>
        <w:rPr>
          <w:rFonts w:ascii="Times New Roman" w:hAnsi="Times New Roman" w:cs="Times New Roman"/>
          <w:sz w:val="24"/>
          <w:szCs w:val="24"/>
        </w:rPr>
        <w:t xml:space="preserve">L’art. 104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36/2023</w:t>
      </w:r>
      <w:r w:rsidRPr="00FC6FDF">
        <w:rPr>
          <w:rFonts w:ascii="Times New Roman" w:hAnsi="Times New Roman" w:cs="Times New Roman"/>
          <w:sz w:val="24"/>
          <w:szCs w:val="24"/>
        </w:rPr>
        <w:t xml:space="preserve"> prevede che sia comunque l’operatore economico a curare la presentazione della dichiarazione sottoscritta dall’impresa ausiliaria (con la quale quest’ultima si obbliga verso la stazione appaltante a mettere a disposizione le risorse di cui il concorrente è carente); può dunque affermarsi, come condivisibilmente ritenuto, con diffusa motivazione, dal primo giudice, che </w:t>
      </w:r>
      <w:r w:rsidRPr="00E344F9">
        <w:rPr>
          <w:rFonts w:ascii="Times New Roman" w:hAnsi="Times New Roman" w:cs="Times New Roman"/>
          <w:b/>
          <w:bCs/>
          <w:sz w:val="24"/>
          <w:szCs w:val="24"/>
        </w:rPr>
        <w:t>detta dichiarazione sia utilmente contenuta (al</w:t>
      </w:r>
      <w:r w:rsidRPr="00FC6FDF">
        <w:rPr>
          <w:rFonts w:ascii="Times New Roman" w:hAnsi="Times New Roman" w:cs="Times New Roman"/>
          <w:sz w:val="24"/>
          <w:szCs w:val="24"/>
        </w:rPr>
        <w:t xml:space="preserve"> punto </w:t>
      </w:r>
      <w:r w:rsidRPr="00FC6FDF">
        <w:rPr>
          <w:rFonts w:ascii="Times New Roman" w:hAnsi="Times New Roman" w:cs="Times New Roman"/>
          <w:i/>
          <w:iCs/>
          <w:sz w:val="24"/>
          <w:szCs w:val="24"/>
        </w:rPr>
        <w:t>sub</w:t>
      </w:r>
      <w:r w:rsidRPr="00FC6FDF">
        <w:rPr>
          <w:rFonts w:ascii="Times New Roman" w:hAnsi="Times New Roman" w:cs="Times New Roman"/>
          <w:sz w:val="24"/>
          <w:szCs w:val="24"/>
        </w:rPr>
        <w:t xml:space="preserve"> 3, erroneamente indicato come 2) </w:t>
      </w:r>
      <w:r w:rsidRPr="00E344F9">
        <w:rPr>
          <w:rFonts w:ascii="Times New Roman" w:hAnsi="Times New Roman" w:cs="Times New Roman"/>
          <w:b/>
          <w:bCs/>
          <w:sz w:val="24"/>
          <w:szCs w:val="24"/>
        </w:rPr>
        <w:t>nel contratto di avvalimento presentato dall’operatore economico</w:t>
      </w:r>
      <w:r w:rsidRPr="00FC6FDF">
        <w:rPr>
          <w:rFonts w:ascii="Times New Roman" w:hAnsi="Times New Roman" w:cs="Times New Roman"/>
          <w:sz w:val="24"/>
          <w:szCs w:val="24"/>
        </w:rPr>
        <w:t xml:space="preserve"> (così Cons. Stato, V, 1 luglio 2022, n. 5497). Può convenirsi con la sentenza di primo grado, ove statuisce che «</w:t>
      </w:r>
      <w:r w:rsidRPr="00E344F9">
        <w:rPr>
          <w:rFonts w:ascii="Times New Roman" w:hAnsi="Times New Roman" w:cs="Times New Roman"/>
          <w:b/>
          <w:bCs/>
          <w:i/>
          <w:iCs/>
          <w:sz w:val="24"/>
          <w:szCs w:val="24"/>
        </w:rPr>
        <w:t>in tale prospettiva, la previsione nell’ambito del contratto (presentato alla stazione appaltante) di una clausola di tale tenore </w:t>
      </w:r>
      <w:r w:rsidRPr="00E344F9">
        <w:rPr>
          <w:rFonts w:ascii="Times New Roman" w:hAnsi="Times New Roman" w:cs="Times New Roman"/>
          <w:b/>
          <w:bCs/>
          <w:sz w:val="24"/>
          <w:szCs w:val="24"/>
        </w:rPr>
        <w:t>–(il riferimento è alla clausola di assunzione della responsabilità solidale nei confronti della stazione appaltante)-</w:t>
      </w:r>
      <w:r w:rsidRPr="00E344F9">
        <w:rPr>
          <w:rFonts w:ascii="Times New Roman" w:hAnsi="Times New Roman" w:cs="Times New Roman"/>
          <w:b/>
          <w:bCs/>
          <w:i/>
          <w:iCs/>
          <w:sz w:val="24"/>
          <w:szCs w:val="24"/>
        </w:rPr>
        <w:t> fa sì che si sia in presenza non già di un semplice contratto a favore di terzi, bensì di un negozio plurimo</w:t>
      </w:r>
      <w:r w:rsidRPr="00FC6FDF">
        <w:rPr>
          <w:rFonts w:ascii="Times New Roman" w:hAnsi="Times New Roman" w:cs="Times New Roman"/>
          <w:i/>
          <w:iCs/>
          <w:sz w:val="24"/>
          <w:szCs w:val="24"/>
        </w:rPr>
        <w:t xml:space="preserve"> che contiene assieme una </w:t>
      </w:r>
      <w:r w:rsidRPr="00E344F9">
        <w:rPr>
          <w:rFonts w:ascii="Times New Roman" w:hAnsi="Times New Roman" w:cs="Times New Roman"/>
          <w:b/>
          <w:bCs/>
          <w:i/>
          <w:iCs/>
          <w:sz w:val="24"/>
          <w:szCs w:val="24"/>
        </w:rPr>
        <w:t>convenzione bilaterale fra l’ausiliaria e l’avvalente e una dichiarazione d’impegno unilaterale dell’ausiliaria nei confronti della stazione</w:t>
      </w:r>
      <w:r w:rsidRPr="00FC6FDF">
        <w:rPr>
          <w:rFonts w:ascii="Times New Roman" w:hAnsi="Times New Roman" w:cs="Times New Roman"/>
          <w:i/>
          <w:iCs/>
          <w:sz w:val="24"/>
          <w:szCs w:val="24"/>
        </w:rPr>
        <w:t xml:space="preserve"> appaltante, efficace ex art. 1334 cod. civ. una volta “presentata” ex art. 89, comma 1, d.lgs. n. 50 del 2016 alla stazione appaltante</w:t>
      </w:r>
      <w:r w:rsidRPr="00FC6FDF">
        <w:rPr>
          <w:rFonts w:ascii="Times New Roman" w:hAnsi="Times New Roman" w:cs="Times New Roman"/>
          <w:sz w:val="24"/>
          <w:szCs w:val="24"/>
        </w:rPr>
        <w:t>».</w:t>
      </w:r>
      <w:r w:rsidR="00E344F9">
        <w:rPr>
          <w:rFonts w:ascii="Times New Roman" w:hAnsi="Times New Roman" w:cs="Times New Roman"/>
          <w:sz w:val="24"/>
          <w:szCs w:val="24"/>
        </w:rPr>
        <w:t xml:space="preserve"> </w:t>
      </w:r>
    </w:p>
    <w:p w14:paraId="4B5F899B" w14:textId="39F9DC46" w:rsidR="00E344F9" w:rsidRDefault="00E344F9" w:rsidP="00E344F9">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 </w:t>
      </w:r>
    </w:p>
    <w:p w14:paraId="75F849D9" w14:textId="77777777" w:rsidR="002B64DD" w:rsidRDefault="002B64DD" w:rsidP="00E344F9">
      <w:pPr>
        <w:spacing w:after="0"/>
        <w:jc w:val="both"/>
        <w:rPr>
          <w:rFonts w:ascii="Times New Roman" w:hAnsi="Times New Roman" w:cs="Times New Roman"/>
          <w:b/>
          <w:bCs/>
          <w:sz w:val="24"/>
          <w:szCs w:val="24"/>
        </w:rPr>
      </w:pPr>
    </w:p>
    <w:p w14:paraId="3BAE461C" w14:textId="77777777" w:rsidR="006E20B8" w:rsidRPr="006E20B8" w:rsidRDefault="006E20B8" w:rsidP="006E20B8">
      <w:pPr>
        <w:spacing w:after="0"/>
        <w:jc w:val="both"/>
        <w:rPr>
          <w:rFonts w:ascii="Times New Roman" w:hAnsi="Times New Roman" w:cs="Times New Roman"/>
          <w:b/>
          <w:sz w:val="24"/>
          <w:szCs w:val="24"/>
        </w:rPr>
      </w:pPr>
      <w:r w:rsidRPr="006E20B8">
        <w:rPr>
          <w:rFonts w:ascii="Times New Roman" w:hAnsi="Times New Roman" w:cs="Times New Roman"/>
          <w:b/>
          <w:sz w:val="24"/>
          <w:szCs w:val="24"/>
        </w:rPr>
        <w:t>CONSIGLIO DI STATO, SEZ. V – sentenza 17 gennaio 2025 n. 374</w:t>
      </w:r>
    </w:p>
    <w:p w14:paraId="27C46B1A" w14:textId="77777777" w:rsidR="006E20B8" w:rsidRPr="006E20B8" w:rsidRDefault="006E20B8" w:rsidP="006E20B8">
      <w:pPr>
        <w:spacing w:after="0"/>
        <w:jc w:val="both"/>
        <w:rPr>
          <w:rFonts w:ascii="Times New Roman" w:hAnsi="Times New Roman" w:cs="Times New Roman"/>
          <w:b/>
          <w:i/>
          <w:iCs/>
          <w:sz w:val="24"/>
          <w:szCs w:val="24"/>
        </w:rPr>
      </w:pPr>
      <w:r w:rsidRPr="006E20B8">
        <w:rPr>
          <w:rFonts w:ascii="Times New Roman" w:hAnsi="Times New Roman" w:cs="Times New Roman"/>
          <w:b/>
          <w:i/>
          <w:iCs/>
          <w:sz w:val="24"/>
          <w:szCs w:val="24"/>
        </w:rPr>
        <w:t>Sull’avvalimento a cascata e sull’avvalimento ad opera del Consorzio stabile</w:t>
      </w:r>
    </w:p>
    <w:p w14:paraId="354D9080" w14:textId="77777777" w:rsidR="006E20B8" w:rsidRDefault="006E20B8" w:rsidP="006E20B8">
      <w:pPr>
        <w:spacing w:after="0"/>
        <w:jc w:val="both"/>
        <w:rPr>
          <w:rFonts w:ascii="Times New Roman" w:hAnsi="Times New Roman" w:cs="Times New Roman"/>
          <w:bCs/>
          <w:sz w:val="24"/>
          <w:szCs w:val="24"/>
        </w:rPr>
      </w:pPr>
      <w:r w:rsidRPr="006E20B8">
        <w:rPr>
          <w:rFonts w:ascii="Times New Roman" w:hAnsi="Times New Roman" w:cs="Times New Roman"/>
          <w:bCs/>
          <w:sz w:val="24"/>
          <w:szCs w:val="24"/>
        </w:rPr>
        <w:t xml:space="preserve">L’avvalimento a cascata è quella forma di avvalimento che si ha quando l’impresa ausiliaria non possiede il requisito che si obbliga a prestare all’impresa </w:t>
      </w:r>
      <w:proofErr w:type="spellStart"/>
      <w:r w:rsidRPr="006E20B8">
        <w:rPr>
          <w:rFonts w:ascii="Times New Roman" w:hAnsi="Times New Roman" w:cs="Times New Roman"/>
          <w:bCs/>
          <w:sz w:val="24"/>
          <w:szCs w:val="24"/>
        </w:rPr>
        <w:t>ausiliata</w:t>
      </w:r>
      <w:proofErr w:type="spellEnd"/>
      <w:r w:rsidRPr="006E20B8">
        <w:rPr>
          <w:rFonts w:ascii="Times New Roman" w:hAnsi="Times New Roman" w:cs="Times New Roman"/>
          <w:bCs/>
          <w:sz w:val="24"/>
          <w:szCs w:val="24"/>
        </w:rPr>
        <w:t xml:space="preserve"> e ricorre essa stessa all’avvalimento per ottenere il prestito del medesimo da altra impresa.</w:t>
      </w:r>
    </w:p>
    <w:p w14:paraId="2B3487D2" w14:textId="77777777" w:rsidR="006E20B8" w:rsidRPr="006E20B8" w:rsidRDefault="006E20B8" w:rsidP="006E20B8">
      <w:pPr>
        <w:spacing w:after="0"/>
        <w:jc w:val="both"/>
        <w:rPr>
          <w:rFonts w:ascii="Times New Roman" w:hAnsi="Times New Roman" w:cs="Times New Roman"/>
          <w:bCs/>
          <w:sz w:val="24"/>
          <w:szCs w:val="24"/>
        </w:rPr>
      </w:pPr>
    </w:p>
    <w:p w14:paraId="7BAD3FFC" w14:textId="77777777" w:rsidR="006E20B8" w:rsidRDefault="006E20B8" w:rsidP="006E20B8">
      <w:pPr>
        <w:spacing w:after="0"/>
        <w:jc w:val="both"/>
        <w:rPr>
          <w:rFonts w:ascii="Times New Roman" w:hAnsi="Times New Roman" w:cs="Times New Roman"/>
          <w:bCs/>
          <w:sz w:val="24"/>
          <w:szCs w:val="24"/>
        </w:rPr>
      </w:pPr>
      <w:r w:rsidRPr="006E20B8">
        <w:rPr>
          <w:rFonts w:ascii="Times New Roman" w:hAnsi="Times New Roman" w:cs="Times New Roman"/>
          <w:bCs/>
          <w:sz w:val="24"/>
          <w:szCs w:val="24"/>
        </w:rPr>
        <w:t xml:space="preserve">L’avvalimento è il contratto, in forma scritta a pena di nullità e di norma oneroso, con il quale una o più imprese ausiliarie si obbligano a mettere a disposizione del concorrente, per tutta la durata dell’appalto, le dotazioni tecniche e le risorse umane e strumentali di cui necessita. La disposizione, quindi, comprende sia la disciplina dell’avvalimento c.d. operativo (riguardante i requisiti di capacità tecnico professionale), sia la disciplina dell’avvalimento c.d. di garanzia (concernente le capacità </w:t>
      </w:r>
      <w:r w:rsidRPr="006E20B8">
        <w:rPr>
          <w:rFonts w:ascii="Times New Roman" w:hAnsi="Times New Roman" w:cs="Times New Roman"/>
          <w:bCs/>
          <w:sz w:val="24"/>
          <w:szCs w:val="24"/>
        </w:rPr>
        <w:lastRenderedPageBreak/>
        <w:t xml:space="preserve">economico finanziarie). L’avvalimento non è più incentrato sul mero prestito di requisiti, che può essere utilizzato anche per migliorare la propria offerta (avvalimento premiale). </w:t>
      </w:r>
    </w:p>
    <w:p w14:paraId="798BA051" w14:textId="77777777" w:rsidR="006E20B8" w:rsidRPr="006E20B8" w:rsidRDefault="006E20B8" w:rsidP="006E20B8">
      <w:pPr>
        <w:spacing w:after="0"/>
        <w:jc w:val="both"/>
        <w:rPr>
          <w:rFonts w:ascii="Times New Roman" w:hAnsi="Times New Roman" w:cs="Times New Roman"/>
          <w:bCs/>
          <w:sz w:val="24"/>
          <w:szCs w:val="24"/>
        </w:rPr>
      </w:pPr>
    </w:p>
    <w:p w14:paraId="407C9D4F" w14:textId="77777777" w:rsidR="006E20B8" w:rsidRPr="006E20B8" w:rsidRDefault="006E20B8" w:rsidP="006E20B8">
      <w:pPr>
        <w:spacing w:after="0"/>
        <w:jc w:val="both"/>
        <w:rPr>
          <w:rFonts w:ascii="Times New Roman" w:hAnsi="Times New Roman" w:cs="Times New Roman"/>
          <w:bCs/>
          <w:sz w:val="24"/>
          <w:szCs w:val="24"/>
        </w:rPr>
      </w:pPr>
      <w:r w:rsidRPr="006E20B8">
        <w:rPr>
          <w:rFonts w:ascii="Times New Roman" w:hAnsi="Times New Roman" w:cs="Times New Roman"/>
          <w:bCs/>
          <w:sz w:val="24"/>
          <w:szCs w:val="24"/>
        </w:rPr>
        <w:t>Il contratto di avvalimento genera un rapporto di collaborazione tra imprese.</w:t>
      </w:r>
    </w:p>
    <w:p w14:paraId="07ABB5CC" w14:textId="77777777" w:rsidR="006E20B8" w:rsidRDefault="006E20B8" w:rsidP="006E20B8">
      <w:pPr>
        <w:spacing w:after="0"/>
        <w:jc w:val="both"/>
        <w:rPr>
          <w:rFonts w:ascii="Times New Roman" w:hAnsi="Times New Roman" w:cs="Times New Roman"/>
          <w:bCs/>
          <w:sz w:val="24"/>
          <w:szCs w:val="24"/>
        </w:rPr>
      </w:pPr>
      <w:r w:rsidRPr="006E20B8">
        <w:rPr>
          <w:rFonts w:ascii="Times New Roman" w:hAnsi="Times New Roman" w:cs="Times New Roman"/>
          <w:bCs/>
          <w:sz w:val="24"/>
          <w:szCs w:val="24"/>
        </w:rPr>
        <w:t xml:space="preserve">Ebbene, se il contratto di avvalimento genera un rapporto di collaborazione tra imprese, e se i consorzi stabili sono operatori economici provvisti di </w:t>
      </w:r>
      <w:r w:rsidRPr="00753F84">
        <w:rPr>
          <w:rFonts w:ascii="Times New Roman" w:hAnsi="Times New Roman" w:cs="Times New Roman"/>
          <w:b/>
          <w:sz w:val="24"/>
          <w:szCs w:val="24"/>
        </w:rPr>
        <w:t>autonoma personalità giuridica</w:t>
      </w:r>
      <w:r w:rsidRPr="006E20B8">
        <w:rPr>
          <w:rFonts w:ascii="Times New Roman" w:hAnsi="Times New Roman" w:cs="Times New Roman"/>
          <w:bCs/>
          <w:sz w:val="24"/>
          <w:szCs w:val="24"/>
        </w:rPr>
        <w:t xml:space="preserve">, distinta dalle imprese consorziate, e si configurano come aggregazioni durevoli di soggetti che nascono da un’esigenza di cooperazione ed assistenza reciproca e che, operando come un’unica impresa, si accreditano all’esterno come soggetto distinto (Consiglio di Stato sez. V, 8 gennaio 2024, n. 266), </w:t>
      </w:r>
      <w:r w:rsidRPr="006E20B8">
        <w:rPr>
          <w:rFonts w:ascii="Times New Roman" w:hAnsi="Times New Roman" w:cs="Times New Roman"/>
          <w:b/>
          <w:sz w:val="24"/>
          <w:szCs w:val="24"/>
        </w:rPr>
        <w:t>nell’ambito del consorzio ausiliario di altro operatore economico non vi è un distinto avvalimento tra consorziata e consorzio</w:t>
      </w:r>
      <w:r w:rsidRPr="006E20B8">
        <w:rPr>
          <w:rFonts w:ascii="Times New Roman" w:hAnsi="Times New Roman" w:cs="Times New Roman"/>
          <w:bCs/>
          <w:sz w:val="24"/>
          <w:szCs w:val="24"/>
        </w:rPr>
        <w:t xml:space="preserve">, il quale appunto si qualifica, e si dota dei mezzi necessari, grazie alle consorziate che compongono il consorzio; insomma, le singole imprese consorziate non sono soggetti terzi rispetto al consorzio ausiliario, utilizzando i cui requisiti si realizzerebbe un avvalimento a cascata (cfr. Consiglio di Stato sez. V, 3 settembre 2021, n. 6212). </w:t>
      </w:r>
    </w:p>
    <w:p w14:paraId="00FA7B61" w14:textId="77777777" w:rsidR="00753F84" w:rsidRPr="006E20B8" w:rsidRDefault="00753F84" w:rsidP="006E20B8">
      <w:pPr>
        <w:spacing w:after="0"/>
        <w:jc w:val="both"/>
        <w:rPr>
          <w:rFonts w:ascii="Times New Roman" w:hAnsi="Times New Roman" w:cs="Times New Roman"/>
          <w:bCs/>
          <w:sz w:val="24"/>
          <w:szCs w:val="24"/>
        </w:rPr>
      </w:pPr>
    </w:p>
    <w:p w14:paraId="6169FB45" w14:textId="77777777" w:rsidR="006E20B8" w:rsidRPr="00753F84" w:rsidRDefault="006E20B8" w:rsidP="006E20B8">
      <w:pPr>
        <w:spacing w:after="0"/>
        <w:jc w:val="both"/>
        <w:rPr>
          <w:rFonts w:ascii="Times New Roman" w:hAnsi="Times New Roman" w:cs="Times New Roman"/>
          <w:bCs/>
          <w:sz w:val="24"/>
          <w:szCs w:val="24"/>
          <w:u w:val="single"/>
        </w:rPr>
      </w:pPr>
      <w:r w:rsidRPr="00753F84">
        <w:rPr>
          <w:rFonts w:ascii="Times New Roman" w:hAnsi="Times New Roman" w:cs="Times New Roman"/>
          <w:b/>
          <w:sz w:val="24"/>
          <w:szCs w:val="24"/>
        </w:rPr>
        <w:t>Anche quando riveste il ruolo di ausiliario nell’ambito di un contratto di avvalimento, assume il ruolo di unico interlocutore</w:t>
      </w:r>
      <w:r w:rsidRPr="006E20B8">
        <w:rPr>
          <w:rFonts w:ascii="Times New Roman" w:hAnsi="Times New Roman" w:cs="Times New Roman"/>
          <w:bCs/>
          <w:sz w:val="24"/>
          <w:szCs w:val="24"/>
        </w:rPr>
        <w:t xml:space="preserve"> con l’amministrazione appaltante </w:t>
      </w:r>
      <w:r w:rsidRPr="00753F84">
        <w:rPr>
          <w:rFonts w:ascii="Times New Roman" w:hAnsi="Times New Roman" w:cs="Times New Roman"/>
          <w:b/>
          <w:sz w:val="24"/>
          <w:szCs w:val="24"/>
        </w:rPr>
        <w:t>imputando direttamente a sé stesso la titolarità del contratto e la realizzazione dei lavori, per cui non sussiste l’obbligo di specifica indicazione delle imprese consorziate</w:t>
      </w:r>
      <w:r w:rsidRPr="006E20B8">
        <w:rPr>
          <w:rFonts w:ascii="Times New Roman" w:hAnsi="Times New Roman" w:cs="Times New Roman"/>
          <w:bCs/>
          <w:sz w:val="24"/>
          <w:szCs w:val="24"/>
        </w:rPr>
        <w:t xml:space="preserve">, le quali non assumono direttamente alcun obbligo di esecuzione delle prestazioni contrattuali. La relazione intercorrente fra Consorzio e imprese consorziate dà luogo a un’impresa operativa che fa leva sulla causa mutualistica, realizzando una peculiare forma di avvalimento che poggia direttamente sul vincolo consortile; </w:t>
      </w:r>
      <w:r w:rsidRPr="00753F84">
        <w:rPr>
          <w:rFonts w:ascii="Times New Roman" w:hAnsi="Times New Roman" w:cs="Times New Roman"/>
          <w:b/>
          <w:sz w:val="24"/>
          <w:szCs w:val="24"/>
          <w:u w:val="single"/>
        </w:rPr>
        <w:t>le singole imprese non sono soggetti terzi, utilizzando i cui requisiti si realizzerebbe un avvalimento a cascata</w:t>
      </w:r>
      <w:r w:rsidRPr="00753F84">
        <w:rPr>
          <w:rFonts w:ascii="Times New Roman" w:hAnsi="Times New Roman" w:cs="Times New Roman"/>
          <w:bCs/>
          <w:sz w:val="24"/>
          <w:szCs w:val="24"/>
          <w:u w:val="single"/>
        </w:rPr>
        <w:t>.</w:t>
      </w:r>
    </w:p>
    <w:p w14:paraId="39D96DB1" w14:textId="77777777" w:rsidR="006E20B8" w:rsidRPr="006E20B8" w:rsidRDefault="006E20B8" w:rsidP="006E20B8">
      <w:pPr>
        <w:spacing w:after="0"/>
        <w:jc w:val="both"/>
        <w:rPr>
          <w:rFonts w:ascii="Times New Roman" w:hAnsi="Times New Roman" w:cs="Times New Roman"/>
          <w:bCs/>
          <w:sz w:val="24"/>
          <w:szCs w:val="24"/>
        </w:rPr>
      </w:pPr>
      <w:r w:rsidRPr="006E20B8">
        <w:rPr>
          <w:rFonts w:ascii="Times New Roman" w:hAnsi="Times New Roman" w:cs="Times New Roman"/>
          <w:bCs/>
          <w:sz w:val="24"/>
          <w:szCs w:val="24"/>
        </w:rPr>
        <w:t>______________________________</w:t>
      </w:r>
    </w:p>
    <w:p w14:paraId="3FDA7B05" w14:textId="77777777" w:rsidR="006E20B8" w:rsidRDefault="006E20B8" w:rsidP="00E344F9">
      <w:pPr>
        <w:spacing w:after="0"/>
        <w:jc w:val="both"/>
        <w:rPr>
          <w:rFonts w:ascii="Times New Roman" w:hAnsi="Times New Roman" w:cs="Times New Roman"/>
          <w:b/>
          <w:bCs/>
          <w:sz w:val="24"/>
          <w:szCs w:val="24"/>
        </w:rPr>
      </w:pPr>
    </w:p>
    <w:p w14:paraId="1B7295AB" w14:textId="13B47CE1" w:rsidR="002B64DD" w:rsidRPr="002B64DD" w:rsidRDefault="002B64DD" w:rsidP="00E344F9">
      <w:pPr>
        <w:spacing w:after="0"/>
        <w:jc w:val="both"/>
        <w:rPr>
          <w:rFonts w:ascii="Times New Roman" w:hAnsi="Times New Roman" w:cs="Times New Roman"/>
          <w:b/>
          <w:bCs/>
          <w:sz w:val="24"/>
          <w:szCs w:val="24"/>
        </w:rPr>
      </w:pPr>
      <w:r w:rsidRPr="002B64DD">
        <w:rPr>
          <w:rFonts w:ascii="Times New Roman" w:hAnsi="Times New Roman" w:cs="Times New Roman"/>
          <w:b/>
          <w:bCs/>
          <w:sz w:val="24"/>
          <w:szCs w:val="24"/>
        </w:rPr>
        <w:t>Consiglio di Stato, sez. IV, 18.01.2023 n. 620</w:t>
      </w:r>
    </w:p>
    <w:p w14:paraId="380D2162" w14:textId="54B7D84C" w:rsidR="002B64DD" w:rsidRPr="002B64DD" w:rsidRDefault="002B64DD" w:rsidP="00E344F9">
      <w:pPr>
        <w:spacing w:after="0"/>
        <w:jc w:val="both"/>
        <w:rPr>
          <w:rFonts w:ascii="Times New Roman" w:hAnsi="Times New Roman" w:cs="Times New Roman"/>
          <w:b/>
          <w:bCs/>
          <w:i/>
          <w:iCs/>
          <w:sz w:val="24"/>
          <w:szCs w:val="24"/>
        </w:rPr>
      </w:pPr>
      <w:r w:rsidRPr="002B64DD">
        <w:rPr>
          <w:rFonts w:ascii="Times New Roman" w:hAnsi="Times New Roman" w:cs="Times New Roman"/>
          <w:b/>
          <w:bCs/>
          <w:i/>
          <w:iCs/>
          <w:sz w:val="24"/>
          <w:szCs w:val="24"/>
        </w:rPr>
        <w:t>Sull’avvalimento frazionato</w:t>
      </w:r>
    </w:p>
    <w:p w14:paraId="083C9DC8" w14:textId="6F67BD25" w:rsidR="002B64DD" w:rsidRDefault="002B64DD" w:rsidP="00E344F9">
      <w:pPr>
        <w:spacing w:after="0"/>
        <w:jc w:val="both"/>
        <w:rPr>
          <w:rFonts w:ascii="Times New Roman" w:hAnsi="Times New Roman" w:cs="Times New Roman"/>
          <w:sz w:val="24"/>
          <w:szCs w:val="24"/>
        </w:rPr>
      </w:pPr>
      <w:r w:rsidRPr="002B64DD">
        <w:rPr>
          <w:rFonts w:ascii="Times New Roman" w:hAnsi="Times New Roman" w:cs="Times New Roman"/>
          <w:sz w:val="24"/>
          <w:szCs w:val="24"/>
        </w:rPr>
        <w:t xml:space="preserve">In ogni caso, l’avvalimento “parziale” e quello “frazionato”, sono ammessi sulla base dell’orientamento della Corte di Giustizia, Sez. V, del 10 ottobre 2013, causa C94/12 e di conseguenza, a tutto concedere, </w:t>
      </w:r>
      <w:r w:rsidRPr="002B64DD">
        <w:rPr>
          <w:rFonts w:ascii="Times New Roman" w:hAnsi="Times New Roman" w:cs="Times New Roman"/>
          <w:b/>
          <w:bCs/>
          <w:sz w:val="24"/>
          <w:szCs w:val="24"/>
        </w:rPr>
        <w:t>non può ritenersi illegittimo il cumulo del requisito del concorrente con il requisito dell’ausiliaria ai fini del raggiungimento della “soglia” prescritta</w:t>
      </w:r>
      <w:r w:rsidRPr="002B64DD">
        <w:rPr>
          <w:rFonts w:ascii="Times New Roman" w:hAnsi="Times New Roman" w:cs="Times New Roman"/>
          <w:sz w:val="24"/>
          <w:szCs w:val="24"/>
        </w:rPr>
        <w:t xml:space="preserve"> dal bando (l’avvalimento plurimo o frazionato </w:t>
      </w:r>
      <w:r w:rsidRPr="002B64DD">
        <w:rPr>
          <w:rFonts w:ascii="Times New Roman" w:hAnsi="Times New Roman" w:cs="Times New Roman"/>
          <w:b/>
          <w:bCs/>
          <w:sz w:val="24"/>
          <w:szCs w:val="24"/>
        </w:rPr>
        <w:t>non può</w:t>
      </w:r>
      <w:r w:rsidRPr="002B64DD">
        <w:rPr>
          <w:rFonts w:ascii="Times New Roman" w:hAnsi="Times New Roman" w:cs="Times New Roman"/>
          <w:sz w:val="24"/>
          <w:szCs w:val="24"/>
        </w:rPr>
        <w:t xml:space="preserve"> essere consentito solo con riferimento ai c.d. </w:t>
      </w:r>
      <w:r w:rsidRPr="002B64DD">
        <w:rPr>
          <w:rFonts w:ascii="Times New Roman" w:hAnsi="Times New Roman" w:cs="Times New Roman"/>
          <w:b/>
          <w:bCs/>
          <w:sz w:val="24"/>
          <w:szCs w:val="24"/>
        </w:rPr>
        <w:t>requisiti di punta</w:t>
      </w:r>
      <w:r w:rsidRPr="002B64DD">
        <w:rPr>
          <w:rFonts w:ascii="Times New Roman" w:hAnsi="Times New Roman" w:cs="Times New Roman"/>
          <w:sz w:val="24"/>
          <w:szCs w:val="24"/>
        </w:rPr>
        <w:t xml:space="preserve"> che tuttavia nel caso in esame non sono richiesti – cfr. Cons. Stato, sez. III, 7 luglio 2017, n.3364).</w:t>
      </w:r>
    </w:p>
    <w:p w14:paraId="72D3F288" w14:textId="77777777" w:rsidR="00975289" w:rsidRDefault="00975289" w:rsidP="00E344F9">
      <w:pPr>
        <w:spacing w:after="0"/>
        <w:jc w:val="both"/>
        <w:rPr>
          <w:rFonts w:ascii="Times New Roman" w:hAnsi="Times New Roman" w:cs="Times New Roman"/>
          <w:sz w:val="24"/>
          <w:szCs w:val="24"/>
        </w:rPr>
      </w:pPr>
    </w:p>
    <w:p w14:paraId="3ACCD5DD" w14:textId="131B64D3" w:rsidR="00975289" w:rsidRDefault="00975289" w:rsidP="00E344F9">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_____________________________ </w:t>
      </w:r>
    </w:p>
    <w:p w14:paraId="62B30869" w14:textId="77777777" w:rsidR="00975289" w:rsidRDefault="00975289" w:rsidP="00E344F9">
      <w:pPr>
        <w:spacing w:after="0"/>
        <w:jc w:val="both"/>
        <w:rPr>
          <w:rFonts w:ascii="Times New Roman" w:hAnsi="Times New Roman" w:cs="Times New Roman"/>
          <w:b/>
          <w:bCs/>
          <w:sz w:val="24"/>
          <w:szCs w:val="24"/>
        </w:rPr>
      </w:pPr>
    </w:p>
    <w:p w14:paraId="6A679BFD" w14:textId="77777777" w:rsidR="00753F84" w:rsidRPr="00753F84" w:rsidRDefault="00753F84" w:rsidP="00753F84">
      <w:pPr>
        <w:jc w:val="both"/>
        <w:rPr>
          <w:rFonts w:ascii="Times New Roman" w:hAnsi="Times New Roman" w:cs="Times New Roman"/>
          <w:b/>
          <w:sz w:val="24"/>
          <w:szCs w:val="24"/>
        </w:rPr>
      </w:pPr>
      <w:bookmarkStart w:id="1" w:name="_Hlk190785929"/>
      <w:r w:rsidRPr="00753F84">
        <w:rPr>
          <w:rFonts w:ascii="Times New Roman" w:hAnsi="Times New Roman" w:cs="Times New Roman"/>
          <w:b/>
          <w:sz w:val="24"/>
          <w:szCs w:val="24"/>
        </w:rPr>
        <w:t xml:space="preserve">TAR CAMPANIA – SALERNO, SEZ. I – sentenza 17 febbraio 2025 n. 330 </w:t>
      </w:r>
    </w:p>
    <w:p w14:paraId="23D8197F" w14:textId="77777777" w:rsidR="00753F84" w:rsidRPr="00753F84" w:rsidRDefault="00753F84" w:rsidP="00753F84">
      <w:pPr>
        <w:jc w:val="both"/>
        <w:rPr>
          <w:rFonts w:ascii="Times New Roman" w:hAnsi="Times New Roman" w:cs="Times New Roman"/>
          <w:b/>
          <w:i/>
          <w:iCs/>
          <w:sz w:val="24"/>
          <w:szCs w:val="24"/>
        </w:rPr>
      </w:pPr>
      <w:r w:rsidRPr="00753F84">
        <w:rPr>
          <w:rFonts w:ascii="Times New Roman" w:hAnsi="Times New Roman" w:cs="Times New Roman"/>
          <w:b/>
          <w:i/>
          <w:iCs/>
          <w:sz w:val="24"/>
          <w:szCs w:val="24"/>
        </w:rPr>
        <w:t>Sulla necessità, in caso di avvalimento, della dichiarazione di impegno dell’ausiliaria</w:t>
      </w:r>
    </w:p>
    <w:p w14:paraId="3456D5C9"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In materia di contratti della P.A. e di gare di appalto, deve ritenersi illegittima l’aggiudicazione di un appalto di servizi, nel caso in cui l’operatore economico vittorioso abbia fatto ricorso all’istituto dell’avvalimento e, tuttavia, abbia omesso di presentare, ai fini del medesimo contratto, la dichiarazione di impegno dell’ausiliaria, rivolta, in particolare, alla Stazione appaltante e relativa alla messa a disposizione, per tutta la durata dell’appalto, delle risorse oggetto del contratto, come previsto dall’art. 104, comma 4, lett. c, del d.lgs. n. 36/2024 e dal disciplinare di gara.</w:t>
      </w:r>
    </w:p>
    <w:p w14:paraId="02543FCA"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lastRenderedPageBreak/>
        <w:t>La giurisprudenza ha delineato in modo netto le differenze strutturali e funzionali tra il contratto di avvalimento e la dichiarazione di impegno dell’ausiliaria nei confronti dell’</w:t>
      </w:r>
      <w:proofErr w:type="spellStart"/>
      <w:r w:rsidRPr="00753F84">
        <w:rPr>
          <w:rFonts w:ascii="Times New Roman" w:hAnsi="Times New Roman" w:cs="Times New Roman"/>
          <w:bCs/>
          <w:sz w:val="24"/>
          <w:szCs w:val="24"/>
        </w:rPr>
        <w:t>ausiliata</w:t>
      </w:r>
      <w:proofErr w:type="spellEnd"/>
      <w:r w:rsidRPr="00753F84">
        <w:rPr>
          <w:rFonts w:ascii="Times New Roman" w:hAnsi="Times New Roman" w:cs="Times New Roman"/>
          <w:bCs/>
          <w:sz w:val="24"/>
          <w:szCs w:val="24"/>
        </w:rPr>
        <w:t xml:space="preserve"> e della Stazione appaltante, atti distinti ma connessi in quanto volti a garantire la partecipazione di concorrenti idoneamente qualificati (in via diretta o indiretta).</w:t>
      </w:r>
    </w:p>
    <w:p w14:paraId="751FCB99"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 xml:space="preserve">La </w:t>
      </w:r>
      <w:r w:rsidRPr="00753F84">
        <w:rPr>
          <w:rFonts w:ascii="Times New Roman" w:hAnsi="Times New Roman" w:cs="Times New Roman"/>
          <w:b/>
          <w:sz w:val="24"/>
          <w:szCs w:val="24"/>
        </w:rPr>
        <w:t>dichiarazione di impegno</w:t>
      </w:r>
      <w:r w:rsidRPr="00753F84">
        <w:rPr>
          <w:rFonts w:ascii="Times New Roman" w:hAnsi="Times New Roman" w:cs="Times New Roman"/>
          <w:bCs/>
          <w:sz w:val="24"/>
          <w:szCs w:val="24"/>
        </w:rPr>
        <w:t xml:space="preserve"> costituisce atto di assunzione unilaterale di obbligazioni, principalmente nei confronti della Stazione appaltante; </w:t>
      </w:r>
      <w:r w:rsidRPr="00753F84">
        <w:rPr>
          <w:rFonts w:ascii="Times New Roman" w:hAnsi="Times New Roman" w:cs="Times New Roman"/>
          <w:b/>
          <w:sz w:val="24"/>
          <w:szCs w:val="24"/>
        </w:rPr>
        <w:t>il contratto di avvalimento</w:t>
      </w:r>
      <w:r w:rsidRPr="00753F84">
        <w:rPr>
          <w:rFonts w:ascii="Times New Roman" w:hAnsi="Times New Roman" w:cs="Times New Roman"/>
          <w:bCs/>
          <w:sz w:val="24"/>
          <w:szCs w:val="24"/>
        </w:rPr>
        <w:t xml:space="preserve"> costituisce, invece, atto bilaterale di costituzione di un rapporto giuridico patrimoniale, stipulato tra l’impresa partecipante alla gara e l’impresa ausiliaria, contemplante le reciproche obbligazioni delle parti e le prestazioni da esse discendenti (cfr. Cons. Stato, Sez. V, 20 novembre 2018, n. 6651, Sez. V, 1° agosto 2018, n. 4765).</w:t>
      </w:r>
    </w:p>
    <w:p w14:paraId="5FD294A8"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
          <w:sz w:val="24"/>
          <w:szCs w:val="24"/>
        </w:rPr>
        <w:t>Le dichiarazioni di impegno sono quindi distinte dal contratto di avvalimento</w:t>
      </w:r>
      <w:r w:rsidRPr="00753F84">
        <w:rPr>
          <w:rFonts w:ascii="Times New Roman" w:hAnsi="Times New Roman" w:cs="Times New Roman"/>
          <w:bCs/>
          <w:sz w:val="24"/>
          <w:szCs w:val="24"/>
        </w:rPr>
        <w:t>, distinzione fondata precipuamente “sulla direzione soggettiva delle dichiarazioni” (cfr. Cons. Stato, Sez. V, 9 febbraio 2023, n. 1449); in particolare, le dichiarazioni d’impegno hanno una propria autonomia rispetto al contratto di avvalimento, in quanto proiettano gli effetti del contratto di avvalimento sulla Stazione appaltante, generando un rapporto diretto tra Stazione appaltante e impresa ausiliaria e giustificando la responsabilità solidale di quest’ultima (cfr. Cons. Stato, Sez. V, 20 novembre 2018, n. 6651).</w:t>
      </w:r>
    </w:p>
    <w:p w14:paraId="2C9DED57"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 xml:space="preserve">Pertanto, </w:t>
      </w:r>
      <w:r w:rsidRPr="00753F84">
        <w:rPr>
          <w:rFonts w:ascii="Times New Roman" w:hAnsi="Times New Roman" w:cs="Times New Roman"/>
          <w:b/>
          <w:sz w:val="24"/>
          <w:szCs w:val="24"/>
        </w:rPr>
        <w:t>le dichiarazioni e il contratto di avvalimento sono atti con contenuto differente e non sovrapponibile, tutti necessari al perfezionamento dell’istituto dell’avvalimento</w:t>
      </w:r>
      <w:r w:rsidRPr="00753F84">
        <w:rPr>
          <w:rFonts w:ascii="Times New Roman" w:hAnsi="Times New Roman" w:cs="Times New Roman"/>
          <w:bCs/>
          <w:sz w:val="24"/>
          <w:szCs w:val="24"/>
        </w:rPr>
        <w:t xml:space="preserve"> (cfr. TAR Calabria-Catanzaro, 18 settembre 2024, n. 1326); quindi, nell’ambito della documentazione relativa all’avvalimento, la presentazione delle dichiarazioni di impegno dell’ausiliaria nei confronti della </w:t>
      </w:r>
      <w:proofErr w:type="spellStart"/>
      <w:r w:rsidRPr="00753F84">
        <w:rPr>
          <w:rFonts w:ascii="Times New Roman" w:hAnsi="Times New Roman" w:cs="Times New Roman"/>
          <w:bCs/>
          <w:sz w:val="24"/>
          <w:szCs w:val="24"/>
        </w:rPr>
        <w:t>ausiliata</w:t>
      </w:r>
      <w:proofErr w:type="spellEnd"/>
      <w:r w:rsidRPr="00753F84">
        <w:rPr>
          <w:rFonts w:ascii="Times New Roman" w:hAnsi="Times New Roman" w:cs="Times New Roman"/>
          <w:bCs/>
          <w:sz w:val="24"/>
          <w:szCs w:val="24"/>
        </w:rPr>
        <w:t xml:space="preserve"> e, in particolare, della Stazione appaltante risulta essenziale ai fini della partecipazione.</w:t>
      </w:r>
      <w:bookmarkEnd w:id="1"/>
    </w:p>
    <w:p w14:paraId="41A6E332"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_________________________</w:t>
      </w:r>
    </w:p>
    <w:p w14:paraId="34579040" w14:textId="77777777" w:rsidR="00753F84" w:rsidRDefault="00753F84" w:rsidP="00E344F9">
      <w:pPr>
        <w:spacing w:after="0"/>
        <w:jc w:val="both"/>
        <w:rPr>
          <w:rFonts w:ascii="Times New Roman" w:hAnsi="Times New Roman" w:cs="Times New Roman"/>
          <w:b/>
          <w:bCs/>
          <w:sz w:val="24"/>
          <w:szCs w:val="24"/>
        </w:rPr>
      </w:pPr>
    </w:p>
    <w:p w14:paraId="05F59500" w14:textId="77777777" w:rsidR="00753F84" w:rsidRPr="00753F84" w:rsidRDefault="00753F84" w:rsidP="00753F84">
      <w:pPr>
        <w:jc w:val="both"/>
        <w:rPr>
          <w:rFonts w:ascii="Times New Roman" w:hAnsi="Times New Roman" w:cs="Times New Roman"/>
          <w:b/>
          <w:sz w:val="24"/>
          <w:szCs w:val="24"/>
        </w:rPr>
      </w:pPr>
      <w:r w:rsidRPr="00753F84">
        <w:rPr>
          <w:rFonts w:ascii="Times New Roman" w:hAnsi="Times New Roman" w:cs="Times New Roman"/>
          <w:b/>
          <w:sz w:val="24"/>
          <w:szCs w:val="24"/>
        </w:rPr>
        <w:t>CONS. STATO, SEZ. V, sentenza 10 febbraio 2025, n. 1065</w:t>
      </w:r>
    </w:p>
    <w:p w14:paraId="19EAB2A0" w14:textId="77777777" w:rsidR="00753F84" w:rsidRPr="00753F84" w:rsidRDefault="00753F84" w:rsidP="00753F84">
      <w:pPr>
        <w:jc w:val="both"/>
        <w:rPr>
          <w:rFonts w:ascii="Times New Roman" w:hAnsi="Times New Roman" w:cs="Times New Roman"/>
          <w:b/>
          <w:i/>
          <w:iCs/>
          <w:sz w:val="24"/>
          <w:szCs w:val="24"/>
        </w:rPr>
      </w:pPr>
      <w:r w:rsidRPr="00753F84">
        <w:rPr>
          <w:rFonts w:ascii="Times New Roman" w:hAnsi="Times New Roman" w:cs="Times New Roman"/>
          <w:b/>
          <w:i/>
          <w:iCs/>
          <w:sz w:val="24"/>
          <w:szCs w:val="24"/>
        </w:rPr>
        <w:t>Sulla dichiarazione di assunzione della responsabilità solidale contenuta nel contratto di avvalimento e non separatamente</w:t>
      </w:r>
    </w:p>
    <w:p w14:paraId="5BD36397" w14:textId="77777777" w:rsid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 xml:space="preserve">L’art. 104 del </w:t>
      </w:r>
      <w:proofErr w:type="spellStart"/>
      <w:r w:rsidRPr="00753F84">
        <w:rPr>
          <w:rFonts w:ascii="Times New Roman" w:hAnsi="Times New Roman" w:cs="Times New Roman"/>
          <w:bCs/>
          <w:sz w:val="24"/>
          <w:szCs w:val="24"/>
        </w:rPr>
        <w:t>d.lgs</w:t>
      </w:r>
      <w:proofErr w:type="spellEnd"/>
      <w:r w:rsidRPr="00753F84">
        <w:rPr>
          <w:rFonts w:ascii="Times New Roman" w:hAnsi="Times New Roman" w:cs="Times New Roman"/>
          <w:bCs/>
          <w:sz w:val="24"/>
          <w:szCs w:val="24"/>
        </w:rPr>
        <w:t xml:space="preserve"> n. 36/2023 prevede che sia comunque l’operatore economico a curare la presentazione della dichiarazione sottoscritta dall’impresa ausiliaria (con la quale quest’ultima si obbliga verso la stazione appaltante a mettere a disposizione le risorse di cui il concorrente è carente); può dunque affermarsi, come condivisibilmente ritenuto, con diffusa motivazione, dal primo giudice, che detta dichiarazione sia utilmente contenuta  nel contratto di avvalimento presentato dall’operatore economico (così Cons. Stato, V, 1 luglio 2022, n. 5497). Può convenirsi con la sentenza di primo grado, ove statuisce che «in tale prospettiva, la previsione nell’ambito del contratto (presentato alla stazione appaltante) di una clausola di tale tenore –(il riferimento è alla clausola di assunzione della responsabilità solidale nei confronti della stazione appaltante)- fa sì che si sia in presenza non già di un semplice contratto a favore di terzi, bensì di un negozio plurimo che contiene assieme una convenzione bilaterale fra l’ausiliaria e l’avvalente e una dichiarazione d’impegno unilaterale dell’ausiliaria nei confronti della stazione appaltante, efficace ex art. 1334 cod. civ. una volta “presentata” ex art. 89, comma 1, d.lgs. n. 50 del 2016 alla stazione appaltante». </w:t>
      </w:r>
    </w:p>
    <w:p w14:paraId="56462C36" w14:textId="77777777" w:rsidR="00753F84" w:rsidRPr="00753F84" w:rsidRDefault="00753F84" w:rsidP="00753F84">
      <w:pPr>
        <w:jc w:val="both"/>
        <w:rPr>
          <w:rFonts w:ascii="Times New Roman" w:hAnsi="Times New Roman" w:cs="Times New Roman"/>
          <w:b/>
          <w:i/>
          <w:iCs/>
          <w:sz w:val="24"/>
          <w:szCs w:val="24"/>
        </w:rPr>
      </w:pPr>
      <w:r w:rsidRPr="00753F84">
        <w:rPr>
          <w:rFonts w:ascii="Times New Roman" w:hAnsi="Times New Roman" w:cs="Times New Roman"/>
          <w:b/>
          <w:i/>
          <w:iCs/>
          <w:sz w:val="24"/>
          <w:szCs w:val="24"/>
        </w:rPr>
        <w:t>Sulla differenza tra avvalimento operativo e di garanzia</w:t>
      </w:r>
    </w:p>
    <w:p w14:paraId="5D1B0894"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 xml:space="preserve">La regola della puntuale indicazione, nel contratto di avvalimento, delle risorse in concreto prestate e della necessaria specificità della dichiarazione resa in tale senso trova applicazione nel caso di </w:t>
      </w:r>
      <w:r w:rsidRPr="00753F84">
        <w:rPr>
          <w:rFonts w:ascii="Times New Roman" w:hAnsi="Times New Roman" w:cs="Times New Roman"/>
          <w:bCs/>
          <w:sz w:val="24"/>
          <w:szCs w:val="24"/>
        </w:rPr>
        <w:lastRenderedPageBreak/>
        <w:t>avvalimento operativo o tecnico e non in quello di avvalimento di garanzia. In quest’ultimo caso non occorre la messa a disposizione di mezzi e risorse specificamente indicate nel contratto, atteso che con tale tipologia di avvalimento l’ausiliaria mette a disposizione dell’</w:t>
      </w:r>
      <w:proofErr w:type="spellStart"/>
      <w:r w:rsidRPr="00753F84">
        <w:rPr>
          <w:rFonts w:ascii="Times New Roman" w:hAnsi="Times New Roman" w:cs="Times New Roman"/>
          <w:bCs/>
          <w:sz w:val="24"/>
          <w:szCs w:val="24"/>
        </w:rPr>
        <w:t>ausiliata</w:t>
      </w:r>
      <w:proofErr w:type="spellEnd"/>
      <w:r w:rsidRPr="00753F84">
        <w:rPr>
          <w:rFonts w:ascii="Times New Roman" w:hAnsi="Times New Roman" w:cs="Times New Roman"/>
          <w:bCs/>
          <w:sz w:val="24"/>
          <w:szCs w:val="24"/>
        </w:rPr>
        <w:t xml:space="preserve"> la sua solidità economica e finanziaria, rassicurando la stazione appaltante delle sue capacità di affrontare gli impegni economici conseguenti al contratto d’appalto (Cons. Stato, V, 14 gennaio 2022, n. 257).</w:t>
      </w:r>
    </w:p>
    <w:p w14:paraId="57A06BED" w14:textId="77777777" w:rsidR="00753F84" w:rsidRPr="00753F84" w:rsidRDefault="00753F84" w:rsidP="00753F84">
      <w:pPr>
        <w:jc w:val="both"/>
        <w:rPr>
          <w:rFonts w:ascii="Times New Roman" w:hAnsi="Times New Roman" w:cs="Times New Roman"/>
          <w:b/>
          <w:sz w:val="24"/>
          <w:szCs w:val="24"/>
        </w:rPr>
      </w:pPr>
      <w:r w:rsidRPr="00753F84">
        <w:rPr>
          <w:rFonts w:ascii="Times New Roman" w:hAnsi="Times New Roman" w:cs="Times New Roman"/>
          <w:b/>
          <w:sz w:val="24"/>
          <w:szCs w:val="24"/>
        </w:rPr>
        <w:t xml:space="preserve">_______________________________ </w:t>
      </w:r>
    </w:p>
    <w:p w14:paraId="6B60A2BC" w14:textId="77777777" w:rsidR="00753F84" w:rsidRDefault="00753F84" w:rsidP="00E344F9">
      <w:pPr>
        <w:spacing w:after="0"/>
        <w:jc w:val="both"/>
        <w:rPr>
          <w:rFonts w:ascii="Times New Roman" w:hAnsi="Times New Roman" w:cs="Times New Roman"/>
          <w:b/>
          <w:bCs/>
          <w:sz w:val="24"/>
          <w:szCs w:val="24"/>
        </w:rPr>
      </w:pPr>
    </w:p>
    <w:p w14:paraId="1C046778" w14:textId="1E45B567" w:rsidR="00BE0FE6" w:rsidRPr="00BE0FE6" w:rsidRDefault="00BE0FE6" w:rsidP="00E344F9">
      <w:pPr>
        <w:spacing w:after="0"/>
        <w:jc w:val="both"/>
        <w:rPr>
          <w:rFonts w:ascii="Times New Roman" w:hAnsi="Times New Roman" w:cs="Times New Roman"/>
          <w:b/>
          <w:bCs/>
          <w:sz w:val="24"/>
          <w:szCs w:val="24"/>
        </w:rPr>
      </w:pPr>
      <w:r w:rsidRPr="00BE0FE6">
        <w:rPr>
          <w:rFonts w:ascii="Times New Roman" w:hAnsi="Times New Roman" w:cs="Times New Roman"/>
          <w:b/>
          <w:bCs/>
          <w:sz w:val="24"/>
          <w:szCs w:val="24"/>
        </w:rPr>
        <w:t>Tar Campania, Napoli, Sez. IX, 7.02.2025, n. 1026</w:t>
      </w:r>
    </w:p>
    <w:p w14:paraId="757A99F9" w14:textId="7CCB3D87" w:rsidR="00E344F9" w:rsidRPr="00BE0FE6" w:rsidRDefault="00BE0FE6" w:rsidP="00E344F9">
      <w:pPr>
        <w:spacing w:after="0"/>
        <w:jc w:val="both"/>
        <w:rPr>
          <w:rFonts w:ascii="Times New Roman" w:hAnsi="Times New Roman" w:cs="Times New Roman"/>
          <w:b/>
          <w:bCs/>
          <w:sz w:val="24"/>
          <w:szCs w:val="24"/>
        </w:rPr>
      </w:pPr>
      <w:r w:rsidRPr="00BE0FE6">
        <w:rPr>
          <w:rFonts w:ascii="Times New Roman" w:hAnsi="Times New Roman" w:cs="Times New Roman"/>
          <w:b/>
          <w:bCs/>
          <w:sz w:val="24"/>
          <w:szCs w:val="24"/>
        </w:rPr>
        <w:t xml:space="preserve">Sulla finalità dell’avvalimento </w:t>
      </w:r>
    </w:p>
    <w:p w14:paraId="166E4078" w14:textId="5C8854F3" w:rsidR="00BE0FE6" w:rsidRPr="00BE0FE6" w:rsidRDefault="00BE0FE6" w:rsidP="00BE0FE6">
      <w:pPr>
        <w:spacing w:after="0"/>
        <w:jc w:val="both"/>
        <w:rPr>
          <w:rFonts w:ascii="Times New Roman" w:hAnsi="Times New Roman" w:cs="Times New Roman"/>
          <w:sz w:val="24"/>
          <w:szCs w:val="24"/>
        </w:rPr>
      </w:pPr>
      <w:r w:rsidRPr="00BE0FE6">
        <w:rPr>
          <w:rFonts w:ascii="Times New Roman" w:hAnsi="Times New Roman" w:cs="Times New Roman"/>
          <w:b/>
          <w:bCs/>
          <w:sz w:val="24"/>
          <w:szCs w:val="24"/>
        </w:rPr>
        <w:t>La funzione dell’avvalimento, descritta dall’articolo 89 del decreto legislativo 50 del 2016, consiste nel soddisfare i requisiti di carattere economico, finanziario, tecnico e professionale, necessari per partecipare ad una procedura di gara,</w:t>
      </w:r>
      <w:r w:rsidRPr="00BE0FE6">
        <w:rPr>
          <w:rFonts w:ascii="Times New Roman" w:hAnsi="Times New Roman" w:cs="Times New Roman"/>
          <w:sz w:val="24"/>
          <w:szCs w:val="24"/>
        </w:rPr>
        <w:t xml:space="preserve"> avvalendosi delle capacità di altri soggetti. Nel caso di specie, </w:t>
      </w:r>
      <w:r w:rsidRPr="00BE0FE6">
        <w:rPr>
          <w:rFonts w:ascii="Times New Roman" w:hAnsi="Times New Roman" w:cs="Times New Roman"/>
          <w:b/>
          <w:bCs/>
          <w:sz w:val="24"/>
          <w:szCs w:val="24"/>
        </w:rPr>
        <w:t>la certificazione cui fa riferimento la ricorrente principale non è indicata dal capitolato speciale come requisito di capacità tecnica per la partecipazione alla gara</w:t>
      </w:r>
      <w:r w:rsidRPr="00BE0FE6">
        <w:rPr>
          <w:rFonts w:ascii="Times New Roman" w:hAnsi="Times New Roman" w:cs="Times New Roman"/>
          <w:sz w:val="24"/>
          <w:szCs w:val="24"/>
        </w:rPr>
        <w:t xml:space="preserve">. Il capitolato speciale si limita a prescrivere che uno dei prodotti compresi nell’offerta tecnica, nello specifico le miscele per la nutrizione parenterale, debba essere prodotto secondo le migliori regole di preparazione, adeguatamente certificate. </w:t>
      </w:r>
      <w:r w:rsidRPr="00BE0FE6">
        <w:rPr>
          <w:rFonts w:ascii="Times New Roman" w:hAnsi="Times New Roman" w:cs="Times New Roman"/>
          <w:b/>
          <w:bCs/>
          <w:sz w:val="24"/>
          <w:szCs w:val="24"/>
        </w:rPr>
        <w:t>Avendo offerto un prodotto preparato conformemente alle suddette regole, adeguatamente certificate, l’offerta tecnica dell’aggiudicataria risulta, sotto tale profilo, conforme alle prescrizioni del capitolato tecnico,</w:t>
      </w:r>
      <w:r w:rsidRPr="00BE0FE6">
        <w:rPr>
          <w:rFonts w:ascii="Times New Roman" w:hAnsi="Times New Roman" w:cs="Times New Roman"/>
          <w:sz w:val="24"/>
          <w:szCs w:val="24"/>
        </w:rPr>
        <w:t xml:space="preserve"> </w:t>
      </w:r>
      <w:r w:rsidRPr="00BE0FE6">
        <w:rPr>
          <w:rFonts w:ascii="Times New Roman" w:hAnsi="Times New Roman" w:cs="Times New Roman"/>
          <w:b/>
          <w:bCs/>
          <w:sz w:val="24"/>
          <w:szCs w:val="24"/>
        </w:rPr>
        <w:t>essendo del tutto irrilevante che la certificazione di qualità sia stata acquisita dall’impresa che ha preparato le miscele, trattandosi comunque di miscele offerte dalla concorrente e non essendo rilevante il modo di acquisizione delle miscele</w:t>
      </w:r>
      <w:r w:rsidRPr="00BE0FE6">
        <w:rPr>
          <w:rFonts w:ascii="Times New Roman" w:hAnsi="Times New Roman" w:cs="Times New Roman"/>
          <w:sz w:val="24"/>
          <w:szCs w:val="24"/>
        </w:rPr>
        <w:t xml:space="preserve">, così come non è rilevante conoscere in quale modo una qualsiasi ditta partecipante ad una gara d’appalto abbia acquisito i mezzi e le attrezzature che utilizzerà per lo svolgimento del lavoro o del servizio. In sostanza, </w:t>
      </w:r>
      <w:r w:rsidRPr="00BE0FE6">
        <w:rPr>
          <w:rFonts w:ascii="Times New Roman" w:hAnsi="Times New Roman" w:cs="Times New Roman"/>
          <w:b/>
          <w:bCs/>
          <w:sz w:val="24"/>
          <w:szCs w:val="24"/>
        </w:rPr>
        <w:t>non si tratta di un requisito di qualificazione alla gara, ma di un requisito di idoneità di un prodotto offerto, per cui il riferimento all’istituto dell’avvalimento è fuorviant</w:t>
      </w:r>
      <w:r w:rsidRPr="00BE0FE6">
        <w:rPr>
          <w:rFonts w:ascii="Times New Roman" w:hAnsi="Times New Roman" w:cs="Times New Roman"/>
          <w:sz w:val="24"/>
          <w:szCs w:val="24"/>
        </w:rPr>
        <w:t>e” (Tar Toscana, 7 novembre 2023, n. 1008).</w:t>
      </w:r>
    </w:p>
    <w:p w14:paraId="1EABF404" w14:textId="77777777" w:rsidR="00BE0FE6" w:rsidRPr="00BE0FE6" w:rsidRDefault="00BE0FE6" w:rsidP="00BE0FE6">
      <w:pPr>
        <w:spacing w:after="0"/>
        <w:jc w:val="both"/>
        <w:rPr>
          <w:rFonts w:ascii="Times New Roman" w:hAnsi="Times New Roman" w:cs="Times New Roman"/>
          <w:sz w:val="24"/>
          <w:szCs w:val="24"/>
        </w:rPr>
      </w:pPr>
      <w:r w:rsidRPr="00BE0FE6">
        <w:rPr>
          <w:rFonts w:ascii="Times New Roman" w:hAnsi="Times New Roman" w:cs="Times New Roman"/>
          <w:sz w:val="24"/>
          <w:szCs w:val="24"/>
        </w:rPr>
        <w:t>Tanto premesso, prive di fondamento appaiono le censure di parte ricorrente, atteso che, dalla documentazione versata in atti, emerge che la controinteressata aggiudicataria ha garantito la piena disponibilità di un magazzino pienamente conforme alle specifiche tecniche di gara. Le sacche personalizzate offerte sono conformi alle specifiche tecniche di gara e prodotte presso stabilimenti di proprietà di una società del gruppo Baxter, titolare di idonea Autorizzazione AIFA 39/2023 del 10 marzo, presso locali autorizzati di cui è stata fornita apposita autorizzazione dalle autorità competenti e seguendo i requisiti di sterilità, come previsto dalle Norme di Buona Preparazione della Farmacopea Ufficiale Italiana.</w:t>
      </w:r>
    </w:p>
    <w:p w14:paraId="596ACE40" w14:textId="77777777" w:rsidR="00E344F9" w:rsidRDefault="00E344F9" w:rsidP="00E344F9">
      <w:pPr>
        <w:spacing w:after="0"/>
        <w:jc w:val="both"/>
        <w:rPr>
          <w:rFonts w:ascii="Times New Roman" w:hAnsi="Times New Roman" w:cs="Times New Roman"/>
          <w:sz w:val="24"/>
          <w:szCs w:val="24"/>
        </w:rPr>
      </w:pPr>
    </w:p>
    <w:p w14:paraId="7201B8EA" w14:textId="74CD9169" w:rsidR="002E458B" w:rsidRDefault="005771DD" w:rsidP="00671497">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 </w:t>
      </w:r>
    </w:p>
    <w:p w14:paraId="6E71F9DA" w14:textId="7C63D326" w:rsidR="005771DD" w:rsidRDefault="005771DD" w:rsidP="00753F84">
      <w:pPr>
        <w:spacing w:after="0"/>
        <w:jc w:val="both"/>
        <w:rPr>
          <w:rFonts w:ascii="Times New Roman" w:hAnsi="Times New Roman" w:cs="Times New Roman"/>
          <w:b/>
          <w:bCs/>
          <w:i/>
          <w:iCs/>
          <w:sz w:val="24"/>
          <w:szCs w:val="24"/>
        </w:rPr>
      </w:pPr>
      <w:r w:rsidRPr="005771DD">
        <w:rPr>
          <w:rFonts w:ascii="Times New Roman" w:hAnsi="Times New Roman" w:cs="Times New Roman"/>
          <w:b/>
          <w:bCs/>
          <w:i/>
          <w:iCs/>
          <w:sz w:val="24"/>
          <w:szCs w:val="24"/>
        </w:rPr>
        <w:t xml:space="preserve">TAR </w:t>
      </w:r>
      <w:r>
        <w:rPr>
          <w:rFonts w:ascii="Times New Roman" w:hAnsi="Times New Roman" w:cs="Times New Roman"/>
          <w:b/>
          <w:bCs/>
          <w:i/>
          <w:iCs/>
          <w:sz w:val="24"/>
          <w:szCs w:val="24"/>
        </w:rPr>
        <w:t xml:space="preserve">Sicilia, </w:t>
      </w:r>
      <w:r w:rsidRPr="005771DD">
        <w:rPr>
          <w:rFonts w:ascii="Times New Roman" w:hAnsi="Times New Roman" w:cs="Times New Roman"/>
          <w:b/>
          <w:bCs/>
          <w:i/>
          <w:iCs/>
          <w:sz w:val="24"/>
          <w:szCs w:val="24"/>
        </w:rPr>
        <w:t xml:space="preserve">Catania, </w:t>
      </w:r>
      <w:proofErr w:type="gramStart"/>
      <w:r w:rsidRPr="005771DD">
        <w:rPr>
          <w:rFonts w:ascii="Times New Roman" w:hAnsi="Times New Roman" w:cs="Times New Roman"/>
          <w:b/>
          <w:bCs/>
          <w:i/>
          <w:iCs/>
          <w:sz w:val="24"/>
          <w:szCs w:val="24"/>
        </w:rPr>
        <w:t>29.01.2025  n.</w:t>
      </w:r>
      <w:proofErr w:type="gramEnd"/>
      <w:r w:rsidRPr="005771DD">
        <w:rPr>
          <w:rFonts w:ascii="Times New Roman" w:hAnsi="Times New Roman" w:cs="Times New Roman"/>
          <w:b/>
          <w:bCs/>
          <w:i/>
          <w:iCs/>
          <w:sz w:val="24"/>
          <w:szCs w:val="24"/>
        </w:rPr>
        <w:t xml:space="preserve"> 297</w:t>
      </w:r>
    </w:p>
    <w:p w14:paraId="7C791FB0" w14:textId="08F30776" w:rsidR="005771DD" w:rsidRPr="005771DD" w:rsidRDefault="005771DD" w:rsidP="00753F84">
      <w:pPr>
        <w:spacing w:after="0"/>
        <w:jc w:val="both"/>
        <w:rPr>
          <w:rFonts w:ascii="Times New Roman" w:hAnsi="Times New Roman" w:cs="Times New Roman"/>
          <w:b/>
          <w:bCs/>
          <w:i/>
          <w:iCs/>
          <w:sz w:val="24"/>
          <w:szCs w:val="24"/>
        </w:rPr>
      </w:pPr>
      <w:r w:rsidRPr="005771DD">
        <w:rPr>
          <w:rFonts w:ascii="Times New Roman" w:hAnsi="Times New Roman" w:cs="Times New Roman"/>
          <w:b/>
          <w:bCs/>
          <w:i/>
          <w:iCs/>
          <w:sz w:val="24"/>
          <w:szCs w:val="24"/>
        </w:rPr>
        <w:t>Sull’avvalimento dell’attestazione SOA</w:t>
      </w:r>
    </w:p>
    <w:p w14:paraId="602E555B" w14:textId="1CA844C7" w:rsidR="005771DD" w:rsidRDefault="005771DD" w:rsidP="00753F84">
      <w:pPr>
        <w:spacing w:after="0"/>
        <w:jc w:val="both"/>
        <w:rPr>
          <w:rFonts w:ascii="Times New Roman" w:hAnsi="Times New Roman" w:cs="Times New Roman"/>
          <w:sz w:val="24"/>
          <w:szCs w:val="24"/>
        </w:rPr>
      </w:pPr>
      <w:r w:rsidRPr="005771DD">
        <w:rPr>
          <w:rFonts w:ascii="Times New Roman" w:hAnsi="Times New Roman" w:cs="Times New Roman"/>
          <w:sz w:val="24"/>
          <w:szCs w:val="24"/>
        </w:rPr>
        <w:t xml:space="preserve">Stante, però, la maggiore pregnanza in tal caso dell’esigenza di assicurare l’idoneità all’esecuzione dei lavori commessi, per la validità del contratto occorre che sia messo a disposizione “l’intero setting di elementi e requisiti che hanno consentito all’impresa ausiliaria di ottenere il rilascio dell’attestazione SOA e che il contratto di avvalimento dia conto, in modo puntuale, del complesso dei requisiti oggetto di avvalimento” (Cons. Stato, Sez. V, 26 gennaio 2024, n. 820; nello stesso senso, Ad. </w:t>
      </w:r>
      <w:proofErr w:type="spellStart"/>
      <w:r w:rsidRPr="005771DD">
        <w:rPr>
          <w:rFonts w:ascii="Times New Roman" w:hAnsi="Times New Roman" w:cs="Times New Roman"/>
          <w:sz w:val="24"/>
          <w:szCs w:val="24"/>
        </w:rPr>
        <w:t>Plen</w:t>
      </w:r>
      <w:proofErr w:type="spellEnd"/>
      <w:r w:rsidRPr="005771DD">
        <w:rPr>
          <w:rFonts w:ascii="Times New Roman" w:hAnsi="Times New Roman" w:cs="Times New Roman"/>
          <w:sz w:val="24"/>
          <w:szCs w:val="24"/>
        </w:rPr>
        <w:t xml:space="preserve">., 16 ottobre 2020, n. 22). Ne deriva l’onere del concorrente di dimostrare che l’impresa ausiliaria non si impegna semplicemente a prestare il requisito soggettivo richiesto (l’attestazione SOA), quale mero valore astratto e cartolare, ma “assume la specifica obbligazione di mettere a </w:t>
      </w:r>
      <w:r w:rsidRPr="005771DD">
        <w:rPr>
          <w:rFonts w:ascii="Times New Roman" w:hAnsi="Times New Roman" w:cs="Times New Roman"/>
          <w:sz w:val="24"/>
          <w:szCs w:val="24"/>
        </w:rPr>
        <w:lastRenderedPageBreak/>
        <w:t xml:space="preserve">disposizione dell’impresa </w:t>
      </w:r>
      <w:proofErr w:type="spellStart"/>
      <w:r w:rsidRPr="005771DD">
        <w:rPr>
          <w:rFonts w:ascii="Times New Roman" w:hAnsi="Times New Roman" w:cs="Times New Roman"/>
          <w:sz w:val="24"/>
          <w:szCs w:val="24"/>
        </w:rPr>
        <w:t>ausiliata</w:t>
      </w:r>
      <w:proofErr w:type="spellEnd"/>
      <w:r w:rsidRPr="005771DD">
        <w:rPr>
          <w:rFonts w:ascii="Times New Roman" w:hAnsi="Times New Roman" w:cs="Times New Roman"/>
          <w:sz w:val="24"/>
          <w:szCs w:val="24"/>
        </w:rPr>
        <w:t xml:space="preserve">, in relazione all’esecuzione dell’appalto, le proprie risorse e il proprio apparato organizzativo, in tutte le parti che giustificano l’attribuzione del requisito di qualità” (Ad. </w:t>
      </w:r>
      <w:proofErr w:type="spellStart"/>
      <w:r w:rsidRPr="005771DD">
        <w:rPr>
          <w:rFonts w:ascii="Times New Roman" w:hAnsi="Times New Roman" w:cs="Times New Roman"/>
          <w:sz w:val="24"/>
          <w:szCs w:val="24"/>
        </w:rPr>
        <w:t>Plen</w:t>
      </w:r>
      <w:proofErr w:type="spellEnd"/>
      <w:r w:rsidRPr="005771DD">
        <w:rPr>
          <w:rFonts w:ascii="Times New Roman" w:hAnsi="Times New Roman" w:cs="Times New Roman"/>
          <w:sz w:val="24"/>
          <w:szCs w:val="24"/>
        </w:rPr>
        <w:t>., 16 ottobre 2020, n. 22, cit.).</w:t>
      </w:r>
      <w:r>
        <w:rPr>
          <w:rFonts w:ascii="Times New Roman" w:hAnsi="Times New Roman" w:cs="Times New Roman"/>
          <w:sz w:val="24"/>
          <w:szCs w:val="24"/>
        </w:rPr>
        <w:t xml:space="preserve"> </w:t>
      </w:r>
    </w:p>
    <w:p w14:paraId="43F61AD6" w14:textId="7A0674DD" w:rsidR="005771DD" w:rsidRDefault="005771DD" w:rsidP="00671497">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 </w:t>
      </w:r>
    </w:p>
    <w:p w14:paraId="7EA40CE6" w14:textId="24CD05D3" w:rsidR="005771DD" w:rsidRPr="005771DD" w:rsidRDefault="005771DD" w:rsidP="00671497">
      <w:pPr>
        <w:jc w:val="both"/>
        <w:rPr>
          <w:rFonts w:ascii="Times New Roman" w:hAnsi="Times New Roman" w:cs="Times New Roman"/>
          <w:b/>
          <w:bCs/>
          <w:sz w:val="24"/>
          <w:szCs w:val="24"/>
        </w:rPr>
      </w:pPr>
      <w:r w:rsidRPr="005771DD">
        <w:rPr>
          <w:rFonts w:ascii="Times New Roman" w:hAnsi="Times New Roman" w:cs="Times New Roman"/>
          <w:b/>
          <w:bCs/>
          <w:sz w:val="24"/>
          <w:szCs w:val="24"/>
        </w:rPr>
        <w:t>TAR Potenza, 17.10.2024 n. 506</w:t>
      </w:r>
    </w:p>
    <w:p w14:paraId="7317BAFF" w14:textId="4CE81615" w:rsidR="005771DD" w:rsidRPr="005771DD" w:rsidRDefault="005771DD" w:rsidP="00671497">
      <w:pPr>
        <w:jc w:val="both"/>
        <w:rPr>
          <w:rFonts w:ascii="Times New Roman" w:hAnsi="Times New Roman" w:cs="Times New Roman"/>
          <w:b/>
          <w:bCs/>
          <w:i/>
          <w:iCs/>
          <w:sz w:val="24"/>
          <w:szCs w:val="24"/>
        </w:rPr>
      </w:pPr>
      <w:r w:rsidRPr="005771DD">
        <w:rPr>
          <w:rFonts w:ascii="Times New Roman" w:hAnsi="Times New Roman" w:cs="Times New Roman"/>
          <w:b/>
          <w:bCs/>
          <w:i/>
          <w:iCs/>
          <w:sz w:val="24"/>
          <w:szCs w:val="24"/>
        </w:rPr>
        <w:t>Sull’insanabilità, mediante soccorso istruttorio, del contratto di avvalimento</w:t>
      </w:r>
    </w:p>
    <w:p w14:paraId="364AB533" w14:textId="517D31C8" w:rsidR="005771DD" w:rsidRDefault="005771DD" w:rsidP="00671497">
      <w:pPr>
        <w:jc w:val="both"/>
        <w:rPr>
          <w:rFonts w:ascii="Times New Roman" w:hAnsi="Times New Roman" w:cs="Times New Roman"/>
          <w:sz w:val="24"/>
          <w:szCs w:val="24"/>
        </w:rPr>
      </w:pPr>
      <w:r w:rsidRPr="005771DD">
        <w:rPr>
          <w:rFonts w:ascii="Times New Roman" w:hAnsi="Times New Roman" w:cs="Times New Roman"/>
          <w:sz w:val="24"/>
          <w:szCs w:val="24"/>
        </w:rPr>
        <w:t xml:space="preserve">Al riguardo, va, altresì, richiamata la condivisibile Giurisprudenza (cfr. C.d.S. Sez. V Sent. n. 322 del 10.1.2024 e C.d.S. Sez. III Sent. n. 8316 del 13.12.2021), indicata dalla ricorrente incidentale, secondo la quale </w:t>
      </w:r>
      <w:r w:rsidRPr="005771DD">
        <w:rPr>
          <w:rFonts w:ascii="Times New Roman" w:hAnsi="Times New Roman" w:cs="Times New Roman"/>
          <w:b/>
          <w:bCs/>
          <w:sz w:val="24"/>
          <w:szCs w:val="24"/>
        </w:rPr>
        <w:t xml:space="preserve">va esclusa “l’ammissibilità del soccorso istruttorio per sanare il vizio di nullità del contratto di avvalimento per l’omessa indicazione dei mezzi e delle risorse messe a disposizione dall’impresa ausiliaria a favore di quella </w:t>
      </w:r>
      <w:proofErr w:type="spellStart"/>
      <w:r w:rsidRPr="005771DD">
        <w:rPr>
          <w:rFonts w:ascii="Times New Roman" w:hAnsi="Times New Roman" w:cs="Times New Roman"/>
          <w:b/>
          <w:bCs/>
          <w:sz w:val="24"/>
          <w:szCs w:val="24"/>
        </w:rPr>
        <w:t>ausiliata</w:t>
      </w:r>
      <w:proofErr w:type="spellEnd"/>
      <w:r w:rsidRPr="005771DD">
        <w:rPr>
          <w:rFonts w:ascii="Times New Roman" w:hAnsi="Times New Roman" w:cs="Times New Roman"/>
          <w:sz w:val="24"/>
          <w:szCs w:val="24"/>
        </w:rPr>
        <w:t>”, in quanto i contratti di avvalimento non possono essere modificati e/o integrati dopo la scadenza del temine perentorio di presentazione delle offerte.</w:t>
      </w:r>
    </w:p>
    <w:p w14:paraId="5A497EC8" w14:textId="3C779F62" w:rsidR="00975289" w:rsidRDefault="00656217" w:rsidP="00671497">
      <w:pPr>
        <w:jc w:val="both"/>
        <w:rPr>
          <w:rFonts w:ascii="Times New Roman" w:hAnsi="Times New Roman" w:cs="Times New Roman"/>
          <w:sz w:val="24"/>
          <w:szCs w:val="24"/>
        </w:rPr>
      </w:pPr>
      <w:r>
        <w:rPr>
          <w:rFonts w:ascii="Times New Roman" w:hAnsi="Times New Roman" w:cs="Times New Roman"/>
          <w:sz w:val="24"/>
          <w:szCs w:val="24"/>
        </w:rPr>
        <w:t>__________________</w:t>
      </w:r>
      <w:r w:rsidR="0029508D">
        <w:rPr>
          <w:rFonts w:ascii="Times New Roman" w:hAnsi="Times New Roman" w:cs="Times New Roman"/>
          <w:sz w:val="24"/>
          <w:szCs w:val="24"/>
        </w:rPr>
        <w:t xml:space="preserve"> </w:t>
      </w:r>
      <w:r w:rsidR="000264B8">
        <w:rPr>
          <w:rFonts w:ascii="Times New Roman" w:hAnsi="Times New Roman" w:cs="Times New Roman"/>
          <w:sz w:val="24"/>
          <w:szCs w:val="24"/>
        </w:rPr>
        <w:t xml:space="preserve"> </w:t>
      </w:r>
    </w:p>
    <w:p w14:paraId="4A1035CB" w14:textId="50FF674C" w:rsidR="000264B8" w:rsidRPr="000264B8" w:rsidRDefault="000264B8" w:rsidP="000264B8">
      <w:pPr>
        <w:jc w:val="both"/>
        <w:rPr>
          <w:rFonts w:ascii="Times New Roman" w:hAnsi="Times New Roman" w:cs="Times New Roman"/>
          <w:b/>
          <w:bCs/>
          <w:sz w:val="24"/>
          <w:szCs w:val="24"/>
        </w:rPr>
      </w:pPr>
      <w:r w:rsidRPr="000264B8">
        <w:rPr>
          <w:rFonts w:ascii="Times New Roman" w:hAnsi="Times New Roman" w:cs="Times New Roman"/>
          <w:b/>
          <w:bCs/>
          <w:sz w:val="24"/>
          <w:szCs w:val="24"/>
        </w:rPr>
        <w:t>T.A.R. Lazio, II-Bis, 10 marzo 2025, n. 4997</w:t>
      </w:r>
    </w:p>
    <w:p w14:paraId="0C8195F8" w14:textId="3EC0DC4E" w:rsidR="000264B8" w:rsidRPr="000264B8" w:rsidRDefault="000264B8" w:rsidP="000264B8">
      <w:pPr>
        <w:jc w:val="both"/>
        <w:rPr>
          <w:rFonts w:ascii="Times New Roman" w:hAnsi="Times New Roman" w:cs="Times New Roman"/>
          <w:b/>
          <w:bCs/>
          <w:i/>
          <w:iCs/>
          <w:sz w:val="24"/>
          <w:szCs w:val="24"/>
        </w:rPr>
      </w:pPr>
      <w:r w:rsidRPr="000264B8">
        <w:rPr>
          <w:rFonts w:ascii="Times New Roman" w:hAnsi="Times New Roman" w:cs="Times New Roman"/>
          <w:b/>
          <w:bCs/>
          <w:i/>
          <w:iCs/>
          <w:sz w:val="24"/>
          <w:szCs w:val="24"/>
        </w:rPr>
        <w:t>Sull’insussistenza dell’obbligo per l’ausiliaria di possedere l’idoneità pro</w:t>
      </w:r>
      <w:r>
        <w:rPr>
          <w:rFonts w:ascii="Times New Roman" w:hAnsi="Times New Roman" w:cs="Times New Roman"/>
          <w:b/>
          <w:bCs/>
          <w:i/>
          <w:iCs/>
          <w:sz w:val="24"/>
          <w:szCs w:val="24"/>
        </w:rPr>
        <w:t>fessionale</w:t>
      </w:r>
      <w:r w:rsidRPr="000264B8">
        <w:rPr>
          <w:rFonts w:ascii="Times New Roman" w:hAnsi="Times New Roman" w:cs="Times New Roman"/>
          <w:b/>
          <w:bCs/>
          <w:i/>
          <w:iCs/>
          <w:sz w:val="24"/>
          <w:szCs w:val="24"/>
        </w:rPr>
        <w:t>, in caso di avvalimento di garanzia</w:t>
      </w:r>
    </w:p>
    <w:p w14:paraId="61CC0233" w14:textId="7BE63871" w:rsidR="000264B8" w:rsidRPr="000264B8" w:rsidRDefault="000264B8" w:rsidP="000264B8">
      <w:pPr>
        <w:jc w:val="both"/>
        <w:rPr>
          <w:rFonts w:ascii="Times New Roman" w:hAnsi="Times New Roman" w:cs="Times New Roman"/>
          <w:sz w:val="24"/>
          <w:szCs w:val="24"/>
        </w:rPr>
      </w:pPr>
      <w:r>
        <w:rPr>
          <w:rFonts w:ascii="Times New Roman" w:hAnsi="Times New Roman" w:cs="Times New Roman"/>
          <w:sz w:val="24"/>
          <w:szCs w:val="24"/>
        </w:rPr>
        <w:t>I</w:t>
      </w:r>
      <w:r w:rsidRPr="000264B8">
        <w:rPr>
          <w:rFonts w:ascii="Times New Roman" w:hAnsi="Times New Roman" w:cs="Times New Roman"/>
          <w:sz w:val="24"/>
          <w:szCs w:val="24"/>
        </w:rPr>
        <w:t>n primo luogo, le norme appena richiamate, essendo esse espressamente riferite all’avvalimento tecnico-operativo, non possono essere estese, sulla base dell’argomento letterale, all’avvalimento di garanzia, come detto non disciplinato dall’art. 104 D. Lgs. 36/2023 (e a differenza del precedente art. 89 D. Lgs. 50/2016).</w:t>
      </w:r>
    </w:p>
    <w:p w14:paraId="63D0BE53" w14:textId="77777777" w:rsidR="000264B8" w:rsidRPr="000264B8" w:rsidRDefault="000264B8" w:rsidP="000264B8">
      <w:pPr>
        <w:jc w:val="both"/>
        <w:rPr>
          <w:rFonts w:ascii="Times New Roman" w:hAnsi="Times New Roman" w:cs="Times New Roman"/>
          <w:sz w:val="24"/>
          <w:szCs w:val="24"/>
        </w:rPr>
      </w:pPr>
      <w:r w:rsidRPr="000264B8">
        <w:rPr>
          <w:rFonts w:ascii="Times New Roman" w:hAnsi="Times New Roman" w:cs="Times New Roman"/>
          <w:sz w:val="24"/>
          <w:szCs w:val="24"/>
        </w:rPr>
        <w:t xml:space="preserve">In secondo luogo, assolvendo l’impresa ausiliaria </w:t>
      </w:r>
      <w:r w:rsidRPr="000264B8">
        <w:rPr>
          <w:rFonts w:ascii="Times New Roman" w:hAnsi="Times New Roman" w:cs="Times New Roman"/>
          <w:b/>
          <w:bCs/>
          <w:sz w:val="24"/>
          <w:szCs w:val="24"/>
        </w:rPr>
        <w:t xml:space="preserve">al solo scopo di garantire la stabilità economica dell’impresa </w:t>
      </w:r>
      <w:proofErr w:type="spellStart"/>
      <w:r w:rsidRPr="000264B8">
        <w:rPr>
          <w:rFonts w:ascii="Times New Roman" w:hAnsi="Times New Roman" w:cs="Times New Roman"/>
          <w:b/>
          <w:bCs/>
          <w:sz w:val="24"/>
          <w:szCs w:val="24"/>
        </w:rPr>
        <w:t>ausilitata</w:t>
      </w:r>
      <w:proofErr w:type="spellEnd"/>
      <w:r w:rsidRPr="000264B8">
        <w:rPr>
          <w:rFonts w:ascii="Times New Roman" w:hAnsi="Times New Roman" w:cs="Times New Roman"/>
          <w:sz w:val="24"/>
          <w:szCs w:val="24"/>
        </w:rPr>
        <w:t xml:space="preserve">, alla prima </w:t>
      </w:r>
      <w:r w:rsidRPr="000264B8">
        <w:rPr>
          <w:rFonts w:ascii="Times New Roman" w:hAnsi="Times New Roman" w:cs="Times New Roman"/>
          <w:b/>
          <w:bCs/>
          <w:sz w:val="24"/>
          <w:szCs w:val="24"/>
        </w:rPr>
        <w:t>non può essere richiesto</w:t>
      </w:r>
      <w:r w:rsidRPr="000264B8">
        <w:rPr>
          <w:rFonts w:ascii="Times New Roman" w:hAnsi="Times New Roman" w:cs="Times New Roman"/>
          <w:sz w:val="24"/>
          <w:szCs w:val="24"/>
        </w:rPr>
        <w:t xml:space="preserve">, essendo essa estranea alla materiale esecuzione delle opere oggetto dell’appalto, </w:t>
      </w:r>
      <w:r w:rsidRPr="000264B8">
        <w:rPr>
          <w:rFonts w:ascii="Times New Roman" w:hAnsi="Times New Roman" w:cs="Times New Roman"/>
          <w:b/>
          <w:bCs/>
          <w:sz w:val="24"/>
          <w:szCs w:val="24"/>
        </w:rPr>
        <w:t>alcuna idoneità professionale</w:t>
      </w:r>
      <w:r w:rsidRPr="000264B8">
        <w:rPr>
          <w:rFonts w:ascii="Times New Roman" w:hAnsi="Times New Roman" w:cs="Times New Roman"/>
          <w:sz w:val="24"/>
          <w:szCs w:val="24"/>
        </w:rPr>
        <w:t xml:space="preserve"> di tal fatta.</w:t>
      </w:r>
    </w:p>
    <w:p w14:paraId="728A61D6" w14:textId="7257E9F3" w:rsidR="000264B8" w:rsidRDefault="000264B8" w:rsidP="000264B8">
      <w:pPr>
        <w:jc w:val="both"/>
        <w:rPr>
          <w:rFonts w:ascii="Times New Roman" w:hAnsi="Times New Roman" w:cs="Times New Roman"/>
          <w:sz w:val="24"/>
          <w:szCs w:val="24"/>
        </w:rPr>
      </w:pPr>
      <w:r w:rsidRPr="000264B8">
        <w:rPr>
          <w:rFonts w:ascii="Times New Roman" w:hAnsi="Times New Roman" w:cs="Times New Roman"/>
          <w:sz w:val="24"/>
          <w:szCs w:val="24"/>
        </w:rPr>
        <w:t>Del resto, l’idoneità professionale – che deve essere distinta dalla capacità tecnico-professionale (attenendo quest’ultima alla titolarità di un requisito abilitativo comprovato dall’iscrizione negli appositi albi professionali) – consiste nell’esperienza concreta dell’operatore economico e nulla ha a che vedere con la capacità economica e finanziaria dell’operatore economico, espressa mediante avvalimento di garanzia”.</w:t>
      </w:r>
    </w:p>
    <w:p w14:paraId="214E17C4" w14:textId="77777777" w:rsidR="000264B8" w:rsidRDefault="000264B8" w:rsidP="00671497">
      <w:pPr>
        <w:jc w:val="both"/>
        <w:rPr>
          <w:rFonts w:ascii="Times New Roman" w:hAnsi="Times New Roman" w:cs="Times New Roman"/>
          <w:sz w:val="24"/>
          <w:szCs w:val="24"/>
        </w:rPr>
      </w:pPr>
    </w:p>
    <w:p w14:paraId="305D8741" w14:textId="1B3DA1CC" w:rsidR="000264B8" w:rsidRDefault="000264B8" w:rsidP="00671497">
      <w:pPr>
        <w:jc w:val="both"/>
        <w:rPr>
          <w:rFonts w:ascii="Times New Roman" w:hAnsi="Times New Roman" w:cs="Times New Roman"/>
          <w:sz w:val="24"/>
          <w:szCs w:val="24"/>
        </w:rPr>
      </w:pPr>
      <w:r>
        <w:rPr>
          <w:rFonts w:ascii="Times New Roman" w:hAnsi="Times New Roman" w:cs="Times New Roman"/>
          <w:sz w:val="24"/>
          <w:szCs w:val="24"/>
        </w:rPr>
        <w:t>_____________________________</w:t>
      </w:r>
    </w:p>
    <w:p w14:paraId="0EB56A6A" w14:textId="0A7D5B0F" w:rsidR="0029508D" w:rsidRPr="0029508D" w:rsidRDefault="0029508D" w:rsidP="0029508D">
      <w:pPr>
        <w:spacing w:after="0"/>
        <w:jc w:val="both"/>
        <w:rPr>
          <w:rFonts w:ascii="Times New Roman" w:hAnsi="Times New Roman" w:cs="Times New Roman"/>
          <w:b/>
          <w:bCs/>
          <w:sz w:val="24"/>
          <w:szCs w:val="24"/>
        </w:rPr>
      </w:pPr>
      <w:r w:rsidRPr="0029508D">
        <w:rPr>
          <w:rFonts w:ascii="Times New Roman" w:hAnsi="Times New Roman" w:cs="Times New Roman"/>
          <w:b/>
          <w:bCs/>
          <w:sz w:val="24"/>
          <w:szCs w:val="24"/>
        </w:rPr>
        <w:t xml:space="preserve">T.A.R. Piemonte, I, 19 febbraio 2025, n. 359 </w:t>
      </w:r>
    </w:p>
    <w:p w14:paraId="60C02A44" w14:textId="74CBF714" w:rsidR="0029508D" w:rsidRPr="0029508D" w:rsidRDefault="0029508D" w:rsidP="0029508D">
      <w:pPr>
        <w:spacing w:after="0"/>
        <w:jc w:val="both"/>
        <w:rPr>
          <w:rFonts w:ascii="Times New Roman" w:hAnsi="Times New Roman" w:cs="Times New Roman"/>
          <w:b/>
          <w:bCs/>
          <w:i/>
          <w:iCs/>
          <w:sz w:val="24"/>
          <w:szCs w:val="24"/>
        </w:rPr>
      </w:pPr>
      <w:r w:rsidRPr="0029508D">
        <w:rPr>
          <w:rFonts w:ascii="Times New Roman" w:hAnsi="Times New Roman" w:cs="Times New Roman"/>
          <w:b/>
          <w:bCs/>
          <w:i/>
          <w:iCs/>
          <w:sz w:val="24"/>
          <w:szCs w:val="24"/>
        </w:rPr>
        <w:t>Sull’avvalimento della certificazione sulla parità di genere</w:t>
      </w:r>
    </w:p>
    <w:p w14:paraId="60612122" w14:textId="472250AA" w:rsidR="0029508D" w:rsidRDefault="0029508D" w:rsidP="0029508D">
      <w:pPr>
        <w:spacing w:after="0"/>
        <w:jc w:val="both"/>
        <w:rPr>
          <w:rFonts w:ascii="Times New Roman" w:hAnsi="Times New Roman" w:cs="Times New Roman"/>
          <w:sz w:val="24"/>
          <w:szCs w:val="24"/>
        </w:rPr>
      </w:pPr>
      <w:r w:rsidRPr="0029508D">
        <w:rPr>
          <w:rFonts w:ascii="Times New Roman" w:hAnsi="Times New Roman" w:cs="Times New Roman"/>
          <w:sz w:val="24"/>
          <w:szCs w:val="24"/>
        </w:rPr>
        <w:t>Il Collegio, dopo aver premesso che la ricorrente non ha contestato, in astratto, che la certificazione della parità di genere non fosse suscettibile di avvalimento, ha ritenuto che, “ammesso l’avvalimento anche per il prestito di requisiti qualitativi di carattere organizzativo, e ferma la necessaria individuazione di un oggettivo prestito di risorse, non si può sostenere che l’ausiliaria debba necessariamente operare in settore coincidente con quello oggetto dell’appalto purché metta a disposizione personale e procedure amministrativo-organizzative in grado di monitorare e garantire il rispetto delle regole di parità“.</w:t>
      </w:r>
    </w:p>
    <w:p w14:paraId="234E8027" w14:textId="77777777" w:rsidR="0029508D" w:rsidRDefault="0029508D" w:rsidP="0029508D">
      <w:pPr>
        <w:spacing w:after="0"/>
        <w:jc w:val="both"/>
        <w:rPr>
          <w:rFonts w:ascii="Times New Roman" w:hAnsi="Times New Roman" w:cs="Times New Roman"/>
          <w:sz w:val="24"/>
          <w:szCs w:val="24"/>
        </w:rPr>
      </w:pPr>
    </w:p>
    <w:p w14:paraId="3092ECE2" w14:textId="77777777" w:rsidR="00975289" w:rsidRDefault="00975289" w:rsidP="00975289">
      <w:pPr>
        <w:spacing w:after="0"/>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lastRenderedPageBreak/>
        <w:t>SUBAPPALTO – ART. 119</w:t>
      </w:r>
    </w:p>
    <w:p w14:paraId="10D26DCA" w14:textId="3F50496A" w:rsidR="00EE5EE7" w:rsidRDefault="00EE5EE7" w:rsidP="00975289">
      <w:pPr>
        <w:spacing w:after="0"/>
        <w:jc w:val="both"/>
        <w:rPr>
          <w:rFonts w:ascii="Times New Roman" w:hAnsi="Times New Roman" w:cs="Times New Roman"/>
          <w:b/>
          <w:bCs/>
          <w:sz w:val="28"/>
          <w:szCs w:val="28"/>
        </w:rPr>
      </w:pPr>
      <w:r w:rsidRPr="00EE5EE7">
        <w:rPr>
          <w:rFonts w:ascii="Times New Roman" w:hAnsi="Times New Roman" w:cs="Times New Roman"/>
          <w:b/>
          <w:bCs/>
          <w:sz w:val="28"/>
          <w:szCs w:val="28"/>
        </w:rPr>
        <w:t>Tar Campania, Napoli, 23.05.2023, n. 3133</w:t>
      </w:r>
    </w:p>
    <w:p w14:paraId="2D32700E" w14:textId="2BA81AFE" w:rsidR="00EE5EE7" w:rsidRPr="00EE5EE7" w:rsidRDefault="00EE5EE7" w:rsidP="00975289">
      <w:pPr>
        <w:spacing w:after="0"/>
        <w:jc w:val="both"/>
        <w:rPr>
          <w:rFonts w:ascii="Times New Roman" w:hAnsi="Times New Roman" w:cs="Times New Roman"/>
          <w:b/>
          <w:bCs/>
          <w:i/>
          <w:iCs/>
          <w:sz w:val="28"/>
          <w:szCs w:val="28"/>
        </w:rPr>
      </w:pPr>
      <w:r w:rsidRPr="00EE5EE7">
        <w:rPr>
          <w:rFonts w:ascii="Times New Roman" w:hAnsi="Times New Roman" w:cs="Times New Roman"/>
          <w:b/>
          <w:bCs/>
          <w:i/>
          <w:iCs/>
          <w:sz w:val="28"/>
          <w:szCs w:val="28"/>
        </w:rPr>
        <w:t>Sull’obbligo di indicazione del subappalto necessario</w:t>
      </w:r>
    </w:p>
    <w:p w14:paraId="0F966136" w14:textId="6B203C31" w:rsidR="00975289" w:rsidRDefault="00EE5EE7" w:rsidP="00975289">
      <w:pPr>
        <w:spacing w:after="0"/>
        <w:jc w:val="both"/>
        <w:rPr>
          <w:rFonts w:ascii="Times New Roman" w:hAnsi="Times New Roman" w:cs="Times New Roman"/>
          <w:sz w:val="28"/>
          <w:szCs w:val="28"/>
        </w:rPr>
      </w:pPr>
      <w:r w:rsidRPr="00EE5EE7">
        <w:rPr>
          <w:rFonts w:ascii="Times New Roman" w:hAnsi="Times New Roman" w:cs="Times New Roman"/>
          <w:sz w:val="28"/>
          <w:szCs w:val="28"/>
        </w:rPr>
        <w:t xml:space="preserve">La giurisprudenza amministrativa ha precisato che </w:t>
      </w:r>
      <w:r w:rsidRPr="00EE5EE7">
        <w:rPr>
          <w:rFonts w:ascii="Times New Roman" w:hAnsi="Times New Roman" w:cs="Times New Roman"/>
          <w:b/>
          <w:bCs/>
          <w:sz w:val="28"/>
          <w:szCs w:val="28"/>
        </w:rPr>
        <w:t>il concorrente non è tenuto ad indicare il nominativo del subappaltatore già in sede di offerta</w:t>
      </w:r>
      <w:r w:rsidRPr="00EE5EE7">
        <w:rPr>
          <w:rFonts w:ascii="Times New Roman" w:hAnsi="Times New Roman" w:cs="Times New Roman"/>
          <w:sz w:val="28"/>
          <w:szCs w:val="28"/>
        </w:rPr>
        <w:t>; nondimeno</w:t>
      </w:r>
      <w:r w:rsidRPr="00EE5EE7">
        <w:rPr>
          <w:rFonts w:ascii="Times New Roman" w:hAnsi="Times New Roman" w:cs="Times New Roman"/>
          <w:b/>
          <w:bCs/>
          <w:sz w:val="28"/>
          <w:szCs w:val="28"/>
        </w:rPr>
        <w:t>, è tenuto a dichiarare la volontà di ricorrere al subappalto per supplire al requisito di qualificazione mancante, ossia la volontà di avvalersi del subappalto c.d. necessario</w:t>
      </w:r>
      <w:r w:rsidRPr="00EE5EE7">
        <w:rPr>
          <w:rFonts w:ascii="Times New Roman" w:hAnsi="Times New Roman" w:cs="Times New Roman"/>
          <w:sz w:val="28"/>
          <w:szCs w:val="28"/>
        </w:rPr>
        <w:t xml:space="preserve"> (così, in particolare, Cons. Stato, sez. V, 15 febbraio 2021, n. 1308 che ne fornisce anche una spiegazione: "L'indicazione del subappaltatore ai fini dell'integrazione dei requisiti di gara configura una vera e propria </w:t>
      </w:r>
      <w:r w:rsidRPr="00EE5EE7">
        <w:rPr>
          <w:rFonts w:ascii="Times New Roman" w:hAnsi="Times New Roman" w:cs="Times New Roman"/>
          <w:b/>
          <w:bCs/>
          <w:sz w:val="28"/>
          <w:szCs w:val="28"/>
        </w:rPr>
        <w:t>manifestazione di volontà</w:t>
      </w:r>
      <w:r w:rsidRPr="00EE5EE7">
        <w:rPr>
          <w:rFonts w:ascii="Times New Roman" w:hAnsi="Times New Roman" w:cs="Times New Roman"/>
          <w:sz w:val="28"/>
          <w:szCs w:val="28"/>
        </w:rPr>
        <w:t xml:space="preserve"> da parte dell'operatore, che indice sulla stessa conformazione funzionale del concorrente e sulla correlata modulazione dei requisiti, anche ai fini della corrispondente verifica da parte dell'amministrazione"; conferma il ragionamento sebbene in fattispecie differente, Cons. Stato, sez. V, 15 febbraio 2021, n. 1308)” (cfr. Consiglio di Stato sez. V, 25/03/2022, (ud. 03/03/2022, </w:t>
      </w:r>
      <w:proofErr w:type="spellStart"/>
      <w:r w:rsidRPr="00EE5EE7">
        <w:rPr>
          <w:rFonts w:ascii="Times New Roman" w:hAnsi="Times New Roman" w:cs="Times New Roman"/>
          <w:sz w:val="28"/>
          <w:szCs w:val="28"/>
        </w:rPr>
        <w:t>dep</w:t>
      </w:r>
      <w:proofErr w:type="spellEnd"/>
      <w:r w:rsidRPr="00EE5EE7">
        <w:rPr>
          <w:rFonts w:ascii="Times New Roman" w:hAnsi="Times New Roman" w:cs="Times New Roman"/>
          <w:sz w:val="28"/>
          <w:szCs w:val="28"/>
        </w:rPr>
        <w:t>. 25/03/2022), n.2217)</w:t>
      </w:r>
      <w:r>
        <w:rPr>
          <w:rFonts w:ascii="Times New Roman" w:hAnsi="Times New Roman" w:cs="Times New Roman"/>
          <w:sz w:val="28"/>
          <w:szCs w:val="28"/>
        </w:rPr>
        <w:t>.</w:t>
      </w:r>
    </w:p>
    <w:p w14:paraId="1FB51339" w14:textId="63B449BB" w:rsidR="00EE5EE7" w:rsidRDefault="00EE5EE7" w:rsidP="00975289">
      <w:pPr>
        <w:spacing w:after="0"/>
        <w:jc w:val="both"/>
        <w:rPr>
          <w:rFonts w:ascii="Times New Roman" w:hAnsi="Times New Roman" w:cs="Times New Roman"/>
          <w:sz w:val="28"/>
          <w:szCs w:val="28"/>
        </w:rPr>
      </w:pPr>
      <w:r>
        <w:rPr>
          <w:rFonts w:ascii="Times New Roman" w:hAnsi="Times New Roman" w:cs="Times New Roman"/>
          <w:sz w:val="28"/>
          <w:szCs w:val="28"/>
        </w:rPr>
        <w:t xml:space="preserve">____________________________ </w:t>
      </w:r>
    </w:p>
    <w:p w14:paraId="656CFC22" w14:textId="77777777" w:rsidR="00EE5EE7" w:rsidRDefault="00EE5EE7" w:rsidP="00975289">
      <w:pPr>
        <w:spacing w:after="0"/>
        <w:jc w:val="both"/>
        <w:rPr>
          <w:rFonts w:ascii="Times New Roman" w:hAnsi="Times New Roman" w:cs="Times New Roman"/>
          <w:sz w:val="28"/>
          <w:szCs w:val="28"/>
        </w:rPr>
      </w:pPr>
    </w:p>
    <w:p w14:paraId="679DFBE1" w14:textId="2BE6B948" w:rsidR="00EE5EE7" w:rsidRPr="00EE5EE7" w:rsidRDefault="00EE5EE7" w:rsidP="00975289">
      <w:pPr>
        <w:spacing w:after="0"/>
        <w:jc w:val="both"/>
        <w:rPr>
          <w:rFonts w:ascii="Times New Roman" w:hAnsi="Times New Roman" w:cs="Times New Roman"/>
          <w:b/>
          <w:bCs/>
          <w:sz w:val="28"/>
          <w:szCs w:val="28"/>
        </w:rPr>
      </w:pPr>
      <w:r>
        <w:rPr>
          <w:rFonts w:ascii="Times New Roman" w:hAnsi="Times New Roman" w:cs="Times New Roman"/>
          <w:b/>
          <w:bCs/>
          <w:sz w:val="28"/>
          <w:szCs w:val="28"/>
        </w:rPr>
        <w:t>Cons. Stato, Sez. IV, 28.01.2025, n. 648</w:t>
      </w:r>
    </w:p>
    <w:p w14:paraId="3808E521" w14:textId="396EB838" w:rsidR="00EE5EE7" w:rsidRDefault="00EE5EE7" w:rsidP="00975289">
      <w:pPr>
        <w:spacing w:after="0"/>
        <w:jc w:val="both"/>
        <w:rPr>
          <w:rFonts w:ascii="Times New Roman" w:hAnsi="Times New Roman" w:cs="Times New Roman"/>
          <w:b/>
          <w:bCs/>
          <w:i/>
          <w:iCs/>
          <w:sz w:val="28"/>
          <w:szCs w:val="28"/>
        </w:rPr>
      </w:pPr>
      <w:r w:rsidRPr="00EE5EE7">
        <w:rPr>
          <w:rFonts w:ascii="Times New Roman" w:hAnsi="Times New Roman" w:cs="Times New Roman"/>
          <w:b/>
          <w:bCs/>
          <w:i/>
          <w:iCs/>
          <w:sz w:val="28"/>
          <w:szCs w:val="28"/>
        </w:rPr>
        <w:t>Sull’insussistenza dell’obbligo di dichiarare di avvalersi del subappalto necessario</w:t>
      </w:r>
    </w:p>
    <w:p w14:paraId="13696923" w14:textId="33438CA6" w:rsidR="00EE5EE7" w:rsidRPr="00EE5EE7" w:rsidRDefault="00EE5EE7" w:rsidP="00EE5EE7">
      <w:pPr>
        <w:spacing w:after="0"/>
        <w:jc w:val="both"/>
        <w:rPr>
          <w:rFonts w:ascii="Times New Roman" w:hAnsi="Times New Roman" w:cs="Times New Roman"/>
          <w:sz w:val="28"/>
          <w:szCs w:val="28"/>
        </w:rPr>
      </w:pPr>
      <w:r w:rsidRPr="00EE5EE7">
        <w:rPr>
          <w:rFonts w:ascii="Times New Roman" w:hAnsi="Times New Roman" w:cs="Times New Roman"/>
          <w:sz w:val="28"/>
          <w:szCs w:val="28"/>
        </w:rPr>
        <w:t xml:space="preserve">Tale soluzione è coerente con il recente indirizzo interpretativo, registratosi in relazione al tema del c.d. subappalto necessario, volto a valorizzare l’effettiva volontà dell’operatore economico, quale desumibile dagli atti di gara, </w:t>
      </w:r>
      <w:r w:rsidRPr="00EE5EE7">
        <w:rPr>
          <w:rFonts w:ascii="Times New Roman" w:hAnsi="Times New Roman" w:cs="Times New Roman"/>
          <w:b/>
          <w:bCs/>
          <w:sz w:val="28"/>
          <w:szCs w:val="28"/>
        </w:rPr>
        <w:t>senza che occorra una dichiarazione formalmente differenziata da quella che vale anche per il subappalto semplice, non necessario</w:t>
      </w:r>
      <w:r w:rsidRPr="00EE5EE7">
        <w:rPr>
          <w:rFonts w:ascii="Times New Roman" w:hAnsi="Times New Roman" w:cs="Times New Roman"/>
          <w:sz w:val="28"/>
          <w:szCs w:val="28"/>
        </w:rPr>
        <w:t xml:space="preserve"> (Cons. Stato, V, 22 febbraio 2024, n. 1793; V, 21 febbraio 2024, n. 1743; V, </w:t>
      </w:r>
      <w:proofErr w:type="spellStart"/>
      <w:r w:rsidRPr="00EE5EE7">
        <w:rPr>
          <w:rFonts w:ascii="Times New Roman" w:hAnsi="Times New Roman" w:cs="Times New Roman"/>
          <w:sz w:val="28"/>
          <w:szCs w:val="28"/>
        </w:rPr>
        <w:t>ord</w:t>
      </w:r>
      <w:proofErr w:type="spellEnd"/>
      <w:r w:rsidRPr="00EE5EE7">
        <w:rPr>
          <w:rFonts w:ascii="Times New Roman" w:hAnsi="Times New Roman" w:cs="Times New Roman"/>
          <w:sz w:val="28"/>
          <w:szCs w:val="28"/>
        </w:rPr>
        <w:t>. 24 novembre 2023, n. 4736).</w:t>
      </w:r>
    </w:p>
    <w:p w14:paraId="4DF31A1D" w14:textId="393ECDEC" w:rsidR="00EE5EE7" w:rsidRPr="00EE5EE7" w:rsidRDefault="00EE5EE7" w:rsidP="00EE5EE7">
      <w:pPr>
        <w:spacing w:after="0"/>
        <w:jc w:val="both"/>
        <w:rPr>
          <w:rFonts w:ascii="Times New Roman" w:hAnsi="Times New Roman" w:cs="Times New Roman"/>
          <w:sz w:val="28"/>
          <w:szCs w:val="28"/>
        </w:rPr>
      </w:pPr>
      <w:r w:rsidRPr="00EE5EE7">
        <w:rPr>
          <w:rFonts w:ascii="Times New Roman" w:hAnsi="Times New Roman" w:cs="Times New Roman"/>
          <w:sz w:val="28"/>
          <w:szCs w:val="28"/>
        </w:rPr>
        <w:t xml:space="preserve">La conclusione condivisa dal Collegio appare, inoltre, più </w:t>
      </w:r>
      <w:r w:rsidRPr="00EE5EE7">
        <w:rPr>
          <w:rFonts w:ascii="Times New Roman" w:hAnsi="Times New Roman" w:cs="Times New Roman"/>
          <w:b/>
          <w:bCs/>
          <w:sz w:val="28"/>
          <w:szCs w:val="28"/>
        </w:rPr>
        <w:t>conforme al principio del risultato</w:t>
      </w:r>
      <w:r w:rsidRPr="00EE5EE7">
        <w:rPr>
          <w:rFonts w:ascii="Times New Roman" w:hAnsi="Times New Roman" w:cs="Times New Roman"/>
          <w:sz w:val="28"/>
          <w:szCs w:val="28"/>
        </w:rPr>
        <w:t xml:space="preserve">, codificato dall’art. 1 del codice dei contratti pubblici, quale prioritario criterio interpretativo, e parametro di verifica della conformità dell'azione pubblica al pieno (e </w:t>
      </w:r>
      <w:r w:rsidRPr="00EE5EE7">
        <w:rPr>
          <w:rFonts w:ascii="Times New Roman" w:hAnsi="Times New Roman" w:cs="Times New Roman"/>
          <w:b/>
          <w:bCs/>
          <w:sz w:val="28"/>
          <w:szCs w:val="28"/>
        </w:rPr>
        <w:t>non meramente formale</w:t>
      </w:r>
      <w:r w:rsidRPr="00EE5EE7">
        <w:rPr>
          <w:rFonts w:ascii="Times New Roman" w:hAnsi="Times New Roman" w:cs="Times New Roman"/>
          <w:sz w:val="28"/>
          <w:szCs w:val="28"/>
        </w:rPr>
        <w:t>) soddisfacimento dell'interesse del singolo come protetto dalle norme.</w:t>
      </w:r>
    </w:p>
    <w:p w14:paraId="023D9F6F" w14:textId="77777777" w:rsidR="00EE5EE7" w:rsidRDefault="00EE5EE7" w:rsidP="00EE5EE7">
      <w:pPr>
        <w:spacing w:after="0"/>
        <w:jc w:val="both"/>
        <w:rPr>
          <w:rFonts w:ascii="Times New Roman" w:hAnsi="Times New Roman" w:cs="Times New Roman"/>
          <w:sz w:val="28"/>
          <w:szCs w:val="28"/>
        </w:rPr>
      </w:pPr>
      <w:r w:rsidRPr="00EE5EE7">
        <w:rPr>
          <w:rFonts w:ascii="Times New Roman" w:hAnsi="Times New Roman" w:cs="Times New Roman"/>
          <w:sz w:val="28"/>
          <w:szCs w:val="28"/>
        </w:rPr>
        <w:t xml:space="preserve">La valorizzazione del principio del risultato implica, per quanto di rilievo nel presente giudizio, </w:t>
      </w:r>
      <w:r w:rsidRPr="00EE5EE7">
        <w:rPr>
          <w:rFonts w:ascii="Times New Roman" w:hAnsi="Times New Roman" w:cs="Times New Roman"/>
          <w:b/>
          <w:bCs/>
          <w:sz w:val="28"/>
          <w:szCs w:val="28"/>
        </w:rPr>
        <w:t>la necessità di privilegiare, sul piano interpretativo, soluzioni conformi al raggiungimento degli obiettivi (di merito, e di metodo) più che a modelli di astratta conformità al paradigma normativo</w:t>
      </w:r>
      <w:r w:rsidRPr="00EE5EE7">
        <w:rPr>
          <w:rFonts w:ascii="Times New Roman" w:hAnsi="Times New Roman" w:cs="Times New Roman"/>
          <w:sz w:val="28"/>
          <w:szCs w:val="28"/>
        </w:rPr>
        <w:t>.</w:t>
      </w:r>
    </w:p>
    <w:p w14:paraId="48619B35" w14:textId="127882AD" w:rsidR="00EE5EE7" w:rsidRDefault="00EE5EE7" w:rsidP="00EE5EE7">
      <w:pPr>
        <w:spacing w:after="0"/>
        <w:jc w:val="both"/>
        <w:rPr>
          <w:rFonts w:ascii="Times New Roman" w:hAnsi="Times New Roman" w:cs="Times New Roman"/>
          <w:sz w:val="28"/>
          <w:szCs w:val="28"/>
        </w:rPr>
      </w:pPr>
      <w:r>
        <w:rPr>
          <w:rFonts w:ascii="Times New Roman" w:hAnsi="Times New Roman" w:cs="Times New Roman"/>
          <w:sz w:val="28"/>
          <w:szCs w:val="28"/>
        </w:rPr>
        <w:t xml:space="preserve">____________________________ </w:t>
      </w:r>
    </w:p>
    <w:p w14:paraId="7EFDBEFD" w14:textId="77777777" w:rsidR="00DC551E" w:rsidRDefault="00DC551E" w:rsidP="00EE5EE7">
      <w:pPr>
        <w:spacing w:after="0"/>
        <w:jc w:val="both"/>
        <w:rPr>
          <w:rFonts w:ascii="Times New Roman" w:hAnsi="Times New Roman" w:cs="Times New Roman"/>
          <w:b/>
          <w:bCs/>
          <w:sz w:val="28"/>
          <w:szCs w:val="28"/>
        </w:rPr>
      </w:pPr>
    </w:p>
    <w:p w14:paraId="2ABB90DA" w14:textId="7D6DF931" w:rsidR="00EE5EE7" w:rsidRPr="00DC551E" w:rsidRDefault="00DC551E" w:rsidP="00EE5EE7">
      <w:pPr>
        <w:spacing w:after="0"/>
        <w:jc w:val="both"/>
        <w:rPr>
          <w:rFonts w:ascii="Times New Roman" w:hAnsi="Times New Roman" w:cs="Times New Roman"/>
          <w:b/>
          <w:bCs/>
          <w:sz w:val="28"/>
          <w:szCs w:val="28"/>
        </w:rPr>
      </w:pPr>
      <w:r w:rsidRPr="00DC551E">
        <w:rPr>
          <w:rFonts w:ascii="Times New Roman" w:hAnsi="Times New Roman" w:cs="Times New Roman"/>
          <w:b/>
          <w:bCs/>
          <w:sz w:val="28"/>
          <w:szCs w:val="28"/>
        </w:rPr>
        <w:t>Tar Campania, Napoli, Sez. I, 24.01.2025, n. 624</w:t>
      </w:r>
    </w:p>
    <w:p w14:paraId="4087C7BA" w14:textId="77777777" w:rsidR="00DC551E" w:rsidRDefault="00DC551E" w:rsidP="00DC551E">
      <w:pPr>
        <w:spacing w:after="0"/>
        <w:jc w:val="both"/>
        <w:rPr>
          <w:rFonts w:ascii="Times New Roman" w:hAnsi="Times New Roman" w:cs="Times New Roman"/>
          <w:b/>
          <w:bCs/>
          <w:i/>
          <w:iCs/>
          <w:sz w:val="28"/>
          <w:szCs w:val="28"/>
        </w:rPr>
      </w:pPr>
      <w:r w:rsidRPr="00EE5EE7">
        <w:rPr>
          <w:rFonts w:ascii="Times New Roman" w:hAnsi="Times New Roman" w:cs="Times New Roman"/>
          <w:b/>
          <w:bCs/>
          <w:i/>
          <w:iCs/>
          <w:sz w:val="28"/>
          <w:szCs w:val="28"/>
        </w:rPr>
        <w:t>Sull’insussistenza dell’obbligo di dichiarare di avvalersi del subappalto necessario</w:t>
      </w:r>
    </w:p>
    <w:p w14:paraId="26829BCB" w14:textId="77777777" w:rsidR="00DC551E" w:rsidRDefault="00DC551E" w:rsidP="00DC551E">
      <w:pPr>
        <w:spacing w:after="0"/>
        <w:jc w:val="both"/>
        <w:rPr>
          <w:rFonts w:ascii="Times New Roman" w:hAnsi="Times New Roman" w:cs="Times New Roman"/>
          <w:sz w:val="28"/>
          <w:szCs w:val="28"/>
        </w:rPr>
      </w:pPr>
      <w:r w:rsidRPr="00DC551E">
        <w:rPr>
          <w:rFonts w:ascii="Times New Roman" w:hAnsi="Times New Roman" w:cs="Times New Roman"/>
          <w:sz w:val="28"/>
          <w:szCs w:val="28"/>
        </w:rPr>
        <w:t xml:space="preserve">Si ripropone dunque in questa sede una questione di ordine generale, che ha visto interpretazioni giurisprudenziali non sempre totalmente omogenee, concernente la </w:t>
      </w:r>
      <w:r w:rsidRPr="00DC551E">
        <w:rPr>
          <w:rFonts w:ascii="Times New Roman" w:hAnsi="Times New Roman" w:cs="Times New Roman"/>
          <w:b/>
          <w:bCs/>
          <w:sz w:val="28"/>
          <w:szCs w:val="28"/>
        </w:rPr>
        <w:t xml:space="preserve">necessità o meno di un onere di forma speciale per la dichiarazione del subappalto </w:t>
      </w:r>
      <w:r w:rsidRPr="00DC551E">
        <w:rPr>
          <w:rFonts w:ascii="Times New Roman" w:hAnsi="Times New Roman" w:cs="Times New Roman"/>
          <w:b/>
          <w:bCs/>
          <w:sz w:val="28"/>
          <w:szCs w:val="28"/>
        </w:rPr>
        <w:lastRenderedPageBreak/>
        <w:t>necessario</w:t>
      </w:r>
      <w:r w:rsidRPr="00DC551E">
        <w:rPr>
          <w:rFonts w:ascii="Times New Roman" w:hAnsi="Times New Roman" w:cs="Times New Roman"/>
          <w:sz w:val="28"/>
          <w:szCs w:val="28"/>
        </w:rPr>
        <w:t xml:space="preserve">. Osserva il Collegio che, a fronte di una documentazione di gara (domanda di partecipazione o DGUE) che </w:t>
      </w:r>
      <w:r w:rsidRPr="00DC551E">
        <w:rPr>
          <w:rFonts w:ascii="Times New Roman" w:hAnsi="Times New Roman" w:cs="Times New Roman"/>
          <w:b/>
          <w:bCs/>
          <w:sz w:val="28"/>
          <w:szCs w:val="28"/>
        </w:rPr>
        <w:t>non contiene la previsione di un’apposita dichiarazione</w:t>
      </w:r>
      <w:r w:rsidRPr="00DC551E">
        <w:rPr>
          <w:rFonts w:ascii="Times New Roman" w:hAnsi="Times New Roman" w:cs="Times New Roman"/>
          <w:sz w:val="28"/>
          <w:szCs w:val="28"/>
        </w:rPr>
        <w:t xml:space="preserve"> sul ricorso al c.d. subappalto necessario, deve ritenersi a questo fine </w:t>
      </w:r>
      <w:r w:rsidRPr="00DC551E">
        <w:rPr>
          <w:rFonts w:ascii="Times New Roman" w:hAnsi="Times New Roman" w:cs="Times New Roman"/>
          <w:b/>
          <w:bCs/>
          <w:sz w:val="28"/>
          <w:szCs w:val="28"/>
        </w:rPr>
        <w:t>sufficiente la compilazione del riquadro del DGUE dedicato al subappalto</w:t>
      </w:r>
      <w:r w:rsidRPr="00DC551E">
        <w:rPr>
          <w:rFonts w:ascii="Times New Roman" w:hAnsi="Times New Roman" w:cs="Times New Roman"/>
          <w:sz w:val="28"/>
          <w:szCs w:val="28"/>
        </w:rPr>
        <w:t>, nel quale è indicata la volontà dell’operatore di subappaltare i lavori di qualificazione necessaria, con l’indicazione delle relative categorie</w:t>
      </w:r>
    </w:p>
    <w:p w14:paraId="56C3E62E" w14:textId="14C19810" w:rsidR="00DC551E" w:rsidRDefault="00DC551E" w:rsidP="00DC551E">
      <w:pPr>
        <w:spacing w:after="0"/>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 </w:t>
      </w:r>
    </w:p>
    <w:p w14:paraId="3EE9B61D" w14:textId="77777777" w:rsidR="00DC551E" w:rsidRDefault="00DC551E" w:rsidP="00DC551E">
      <w:pPr>
        <w:spacing w:after="0"/>
        <w:jc w:val="both"/>
        <w:rPr>
          <w:rFonts w:ascii="Times New Roman" w:hAnsi="Times New Roman" w:cs="Times New Roman"/>
          <w:b/>
          <w:bCs/>
          <w:sz w:val="28"/>
          <w:szCs w:val="28"/>
        </w:rPr>
      </w:pPr>
    </w:p>
    <w:p w14:paraId="532BD9AE" w14:textId="77777777" w:rsidR="00753F84" w:rsidRPr="00753F84" w:rsidRDefault="00753F84" w:rsidP="00753F84">
      <w:pPr>
        <w:spacing w:after="0"/>
        <w:jc w:val="both"/>
        <w:rPr>
          <w:rFonts w:ascii="Times New Roman" w:hAnsi="Times New Roman" w:cs="Times New Roman"/>
          <w:b/>
          <w:sz w:val="24"/>
          <w:szCs w:val="24"/>
        </w:rPr>
      </w:pPr>
      <w:r w:rsidRPr="00753F84">
        <w:rPr>
          <w:rFonts w:ascii="Times New Roman" w:hAnsi="Times New Roman" w:cs="Times New Roman"/>
          <w:b/>
          <w:sz w:val="24"/>
          <w:szCs w:val="24"/>
        </w:rPr>
        <w:t xml:space="preserve">TAR SICILIA – PALERMO, SEZ. III – sentenza 22 gennaio 2025, n. 159 </w:t>
      </w:r>
    </w:p>
    <w:p w14:paraId="544AC259" w14:textId="09025752" w:rsidR="00753F84" w:rsidRPr="00753F84" w:rsidRDefault="00753F84" w:rsidP="00753F84">
      <w:pPr>
        <w:spacing w:after="0"/>
        <w:jc w:val="both"/>
        <w:rPr>
          <w:rFonts w:ascii="Times New Roman" w:hAnsi="Times New Roman" w:cs="Times New Roman"/>
          <w:b/>
          <w:i/>
          <w:iCs/>
          <w:sz w:val="24"/>
          <w:szCs w:val="24"/>
        </w:rPr>
      </w:pPr>
      <w:r w:rsidRPr="00753F84">
        <w:rPr>
          <w:rFonts w:ascii="Times New Roman" w:hAnsi="Times New Roman" w:cs="Times New Roman"/>
          <w:b/>
          <w:i/>
          <w:iCs/>
          <w:sz w:val="24"/>
          <w:szCs w:val="24"/>
        </w:rPr>
        <w:t>Sulla non obbligatorietà dell’indicazione del nominativo del subappaltatore</w:t>
      </w:r>
      <w:r>
        <w:rPr>
          <w:rFonts w:ascii="Times New Roman" w:hAnsi="Times New Roman" w:cs="Times New Roman"/>
          <w:b/>
          <w:i/>
          <w:iCs/>
          <w:sz w:val="24"/>
          <w:szCs w:val="24"/>
        </w:rPr>
        <w:t>, anche nel caso di subappalto necessario</w:t>
      </w:r>
    </w:p>
    <w:p w14:paraId="530EBDE0" w14:textId="77777777" w:rsidR="00753F84" w:rsidRPr="00753F84" w:rsidRDefault="00753F84" w:rsidP="00753F84">
      <w:pPr>
        <w:spacing w:after="0"/>
        <w:jc w:val="both"/>
        <w:rPr>
          <w:rFonts w:ascii="Times New Roman" w:hAnsi="Times New Roman" w:cs="Times New Roman"/>
          <w:bCs/>
          <w:sz w:val="24"/>
          <w:szCs w:val="24"/>
        </w:rPr>
      </w:pPr>
      <w:r w:rsidRPr="00753F84">
        <w:rPr>
          <w:rFonts w:ascii="Times New Roman" w:hAnsi="Times New Roman" w:cs="Times New Roman"/>
          <w:bCs/>
          <w:sz w:val="24"/>
          <w:szCs w:val="24"/>
        </w:rPr>
        <w:t xml:space="preserve">L’indicazione del nominativo del subappaltatore già in sede di presentazione dell’offerta non è obbligatoria, neanche nell’ipotesi in cui il concorrente non possieda la qualificazione nelle categorie scorporabili. La tesi contraria comporta una </w:t>
      </w:r>
      <w:r w:rsidRPr="00753F84">
        <w:rPr>
          <w:rFonts w:ascii="Times New Roman" w:hAnsi="Times New Roman" w:cs="Times New Roman"/>
          <w:b/>
          <w:sz w:val="24"/>
          <w:szCs w:val="24"/>
        </w:rPr>
        <w:t xml:space="preserve">confusione tra avvalimento e subappalto, nella misura in cui attrae il rapporto con l’impresa subappaltatrice nella fase della gara, anziché in quella dell’esecuzione dell’appalto, con ciò assimilando due istituti che presentano presupposti, finalità e regolazioni diverse, </w:t>
      </w:r>
      <w:r w:rsidRPr="00753F84">
        <w:rPr>
          <w:rFonts w:ascii="Times New Roman" w:hAnsi="Times New Roman" w:cs="Times New Roman"/>
          <w:bCs/>
          <w:sz w:val="24"/>
          <w:szCs w:val="24"/>
        </w:rPr>
        <w:t>ma senza creare il medesimo vincolo dell’avvalimento e senza assicurare, quindi, alla stazione appaltante le stesse garanzie contrattuali da esso offerte.</w:t>
      </w:r>
    </w:p>
    <w:p w14:paraId="779729A4"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____________________</w:t>
      </w:r>
    </w:p>
    <w:p w14:paraId="02E7CAFD" w14:textId="77777777" w:rsidR="00753F84" w:rsidRDefault="00753F84" w:rsidP="00DC551E">
      <w:pPr>
        <w:spacing w:after="0"/>
        <w:jc w:val="both"/>
        <w:rPr>
          <w:rFonts w:ascii="Times New Roman" w:hAnsi="Times New Roman" w:cs="Times New Roman"/>
          <w:b/>
          <w:bCs/>
          <w:sz w:val="28"/>
          <w:szCs w:val="28"/>
        </w:rPr>
      </w:pPr>
    </w:p>
    <w:p w14:paraId="28EFEA2F" w14:textId="6F1AA279" w:rsidR="00DC551E" w:rsidRPr="00DC551E" w:rsidRDefault="00DC551E" w:rsidP="00DC551E">
      <w:pPr>
        <w:spacing w:after="0"/>
        <w:jc w:val="both"/>
        <w:rPr>
          <w:rFonts w:ascii="Times New Roman" w:hAnsi="Times New Roman" w:cs="Times New Roman"/>
          <w:b/>
          <w:bCs/>
          <w:sz w:val="28"/>
          <w:szCs w:val="28"/>
        </w:rPr>
      </w:pPr>
      <w:r w:rsidRPr="00DC551E">
        <w:rPr>
          <w:rFonts w:ascii="Times New Roman" w:hAnsi="Times New Roman" w:cs="Times New Roman"/>
          <w:b/>
          <w:bCs/>
          <w:sz w:val="28"/>
          <w:szCs w:val="28"/>
        </w:rPr>
        <w:t>Cons. Stato, Sez. III, 25.10.2024, n. 8556</w:t>
      </w:r>
    </w:p>
    <w:p w14:paraId="7EAF3C08" w14:textId="66ED47E1" w:rsidR="00DC551E" w:rsidRDefault="00DC551E" w:rsidP="00DC551E">
      <w:pPr>
        <w:spacing w:after="0"/>
        <w:jc w:val="both"/>
        <w:rPr>
          <w:rFonts w:ascii="Times New Roman" w:hAnsi="Times New Roman" w:cs="Times New Roman"/>
          <w:b/>
          <w:bCs/>
          <w:sz w:val="28"/>
          <w:szCs w:val="28"/>
        </w:rPr>
      </w:pPr>
      <w:r w:rsidRPr="00DC551E">
        <w:rPr>
          <w:rFonts w:ascii="Times New Roman" w:hAnsi="Times New Roman" w:cs="Times New Roman"/>
          <w:b/>
          <w:bCs/>
          <w:sz w:val="28"/>
          <w:szCs w:val="28"/>
        </w:rPr>
        <w:t>Sulla definizione di subcontratti</w:t>
      </w:r>
      <w:r>
        <w:rPr>
          <w:rFonts w:ascii="Times New Roman" w:hAnsi="Times New Roman" w:cs="Times New Roman"/>
          <w:b/>
          <w:bCs/>
          <w:sz w:val="28"/>
          <w:szCs w:val="28"/>
        </w:rPr>
        <w:t xml:space="preserve"> </w:t>
      </w:r>
    </w:p>
    <w:p w14:paraId="61D91A62" w14:textId="34251B29" w:rsidR="00DC551E" w:rsidRPr="00DC551E" w:rsidRDefault="00DC551E" w:rsidP="00DC551E">
      <w:pPr>
        <w:spacing w:after="0"/>
        <w:jc w:val="both"/>
        <w:rPr>
          <w:rFonts w:ascii="Times New Roman" w:hAnsi="Times New Roman" w:cs="Times New Roman"/>
          <w:sz w:val="28"/>
          <w:szCs w:val="28"/>
        </w:rPr>
      </w:pPr>
      <w:r>
        <w:rPr>
          <w:rFonts w:ascii="Times New Roman" w:hAnsi="Times New Roman" w:cs="Times New Roman"/>
          <w:sz w:val="28"/>
          <w:szCs w:val="28"/>
        </w:rPr>
        <w:t>S</w:t>
      </w:r>
      <w:r w:rsidRPr="00DC551E">
        <w:rPr>
          <w:rFonts w:ascii="Times New Roman" w:hAnsi="Times New Roman" w:cs="Times New Roman"/>
          <w:sz w:val="28"/>
          <w:szCs w:val="28"/>
        </w:rPr>
        <w:t xml:space="preserve">i tratta </w:t>
      </w:r>
      <w:r w:rsidRPr="00DC551E">
        <w:rPr>
          <w:rFonts w:ascii="Times New Roman" w:hAnsi="Times New Roman" w:cs="Times New Roman"/>
          <w:b/>
          <w:bCs/>
          <w:sz w:val="28"/>
          <w:szCs w:val="28"/>
        </w:rPr>
        <w:t>di subcontratto</w:t>
      </w:r>
      <w:r w:rsidR="00753F84">
        <w:rPr>
          <w:rFonts w:ascii="Times New Roman" w:hAnsi="Times New Roman" w:cs="Times New Roman"/>
          <w:b/>
          <w:bCs/>
          <w:sz w:val="28"/>
          <w:szCs w:val="28"/>
        </w:rPr>
        <w:t xml:space="preserve"> </w:t>
      </w:r>
      <w:r w:rsidRPr="00DC551E">
        <w:rPr>
          <w:rFonts w:ascii="Times New Roman" w:hAnsi="Times New Roman" w:cs="Times New Roman"/>
          <w:b/>
          <w:bCs/>
          <w:sz w:val="28"/>
          <w:szCs w:val="28"/>
        </w:rPr>
        <w:t>e non di subappalto</w:t>
      </w:r>
      <w:r w:rsidRPr="00DC551E">
        <w:rPr>
          <w:rFonts w:ascii="Times New Roman" w:hAnsi="Times New Roman" w:cs="Times New Roman"/>
          <w:sz w:val="28"/>
          <w:szCs w:val="28"/>
        </w:rPr>
        <w:t xml:space="preserve">, in quanto l’attività formativa viene eseguita dalla società </w:t>
      </w:r>
      <w:proofErr w:type="spellStart"/>
      <w:r w:rsidRPr="00DC551E">
        <w:rPr>
          <w:rFonts w:ascii="Times New Roman" w:hAnsi="Times New Roman" w:cs="Times New Roman"/>
          <w:sz w:val="28"/>
          <w:szCs w:val="28"/>
        </w:rPr>
        <w:t>Becton</w:t>
      </w:r>
      <w:proofErr w:type="spellEnd"/>
      <w:r w:rsidRPr="00DC551E">
        <w:rPr>
          <w:rFonts w:ascii="Times New Roman" w:hAnsi="Times New Roman" w:cs="Times New Roman"/>
          <w:sz w:val="28"/>
          <w:szCs w:val="28"/>
        </w:rPr>
        <w:t xml:space="preserve"> Dickinson; nel caso di specie i soggetti terzi agiscono quali </w:t>
      </w:r>
      <w:r w:rsidRPr="00DC551E">
        <w:rPr>
          <w:rFonts w:ascii="Times New Roman" w:hAnsi="Times New Roman" w:cs="Times New Roman"/>
          <w:b/>
          <w:bCs/>
          <w:sz w:val="28"/>
          <w:szCs w:val="28"/>
        </w:rPr>
        <w:t>meri collaboratori nell’esecuzione dell’attività</w:t>
      </w:r>
      <w:r w:rsidRPr="00DC551E">
        <w:rPr>
          <w:rFonts w:ascii="Times New Roman" w:hAnsi="Times New Roman" w:cs="Times New Roman"/>
          <w:sz w:val="28"/>
          <w:szCs w:val="28"/>
        </w:rPr>
        <w:t xml:space="preserve"> formativa, in </w:t>
      </w:r>
      <w:r w:rsidRPr="00DC551E">
        <w:rPr>
          <w:rFonts w:ascii="Times New Roman" w:hAnsi="Times New Roman" w:cs="Times New Roman"/>
          <w:b/>
          <w:bCs/>
          <w:sz w:val="28"/>
          <w:szCs w:val="28"/>
        </w:rPr>
        <w:t xml:space="preserve">assenza </w:t>
      </w:r>
      <w:r w:rsidRPr="00DC551E">
        <w:rPr>
          <w:rFonts w:ascii="Times New Roman" w:hAnsi="Times New Roman" w:cs="Times New Roman"/>
          <w:sz w:val="28"/>
          <w:szCs w:val="28"/>
        </w:rPr>
        <w:t xml:space="preserve">di quei </w:t>
      </w:r>
      <w:r w:rsidRPr="00DC551E">
        <w:rPr>
          <w:rFonts w:ascii="Times New Roman" w:hAnsi="Times New Roman" w:cs="Times New Roman"/>
          <w:b/>
          <w:bCs/>
          <w:sz w:val="28"/>
          <w:szCs w:val="28"/>
        </w:rPr>
        <w:t>requisiti di autonomia</w:t>
      </w:r>
      <w:r w:rsidRPr="00DC551E">
        <w:rPr>
          <w:rFonts w:ascii="Times New Roman" w:hAnsi="Times New Roman" w:cs="Times New Roman"/>
          <w:sz w:val="28"/>
          <w:szCs w:val="28"/>
        </w:rPr>
        <w:t xml:space="preserve"> che connotano sul subappalto;</w:t>
      </w:r>
    </w:p>
    <w:p w14:paraId="60D605B4" w14:textId="77777777" w:rsidR="00DC551E" w:rsidRPr="00DC551E" w:rsidRDefault="00DC551E" w:rsidP="00DC551E">
      <w:pPr>
        <w:spacing w:after="0"/>
        <w:jc w:val="both"/>
        <w:rPr>
          <w:rFonts w:ascii="Times New Roman" w:hAnsi="Times New Roman" w:cs="Times New Roman"/>
          <w:sz w:val="28"/>
          <w:szCs w:val="28"/>
        </w:rPr>
      </w:pPr>
      <w:r w:rsidRPr="00DC551E">
        <w:rPr>
          <w:rFonts w:ascii="Times New Roman" w:hAnsi="Times New Roman" w:cs="Times New Roman"/>
          <w:sz w:val="28"/>
          <w:szCs w:val="28"/>
        </w:rPr>
        <w:t xml:space="preserve">- occorre considerare, infatti, che questi specifici corsi non possono essere svolti dalle aziende commerciali in base al Regolamento AGENAS, sicché necessariamente la società doveva </w:t>
      </w:r>
      <w:r w:rsidRPr="00DC551E">
        <w:rPr>
          <w:rFonts w:ascii="Times New Roman" w:hAnsi="Times New Roman" w:cs="Times New Roman"/>
          <w:b/>
          <w:bCs/>
          <w:sz w:val="28"/>
          <w:szCs w:val="28"/>
        </w:rPr>
        <w:t>rivolgersi a soggetti terzi</w:t>
      </w:r>
      <w:r w:rsidRPr="00DC551E">
        <w:rPr>
          <w:rFonts w:ascii="Times New Roman" w:hAnsi="Times New Roman" w:cs="Times New Roman"/>
          <w:sz w:val="28"/>
          <w:szCs w:val="28"/>
        </w:rPr>
        <w:t xml:space="preserve"> accreditati;</w:t>
      </w:r>
    </w:p>
    <w:p w14:paraId="0DA5BE02" w14:textId="77777777" w:rsidR="00DC551E" w:rsidRPr="00DC551E" w:rsidRDefault="00DC551E" w:rsidP="00DC551E">
      <w:pPr>
        <w:spacing w:after="0"/>
        <w:jc w:val="both"/>
        <w:rPr>
          <w:rFonts w:ascii="Times New Roman" w:hAnsi="Times New Roman" w:cs="Times New Roman"/>
          <w:sz w:val="28"/>
          <w:szCs w:val="28"/>
        </w:rPr>
      </w:pPr>
      <w:r w:rsidRPr="00DC551E">
        <w:rPr>
          <w:rFonts w:ascii="Times New Roman" w:hAnsi="Times New Roman" w:cs="Times New Roman"/>
          <w:sz w:val="28"/>
          <w:szCs w:val="28"/>
        </w:rPr>
        <w:t xml:space="preserve">- tali corsi, infine, costituiscono </w:t>
      </w:r>
      <w:r w:rsidRPr="00DC551E">
        <w:rPr>
          <w:rFonts w:ascii="Times New Roman" w:hAnsi="Times New Roman" w:cs="Times New Roman"/>
          <w:b/>
          <w:bCs/>
          <w:sz w:val="28"/>
          <w:szCs w:val="28"/>
        </w:rPr>
        <w:t>prestazioni accessorie che non rientrano nell’oggetto dell’appalto in senso proprio,</w:t>
      </w:r>
      <w:r w:rsidRPr="00DC551E">
        <w:rPr>
          <w:rFonts w:ascii="Times New Roman" w:hAnsi="Times New Roman" w:cs="Times New Roman"/>
          <w:sz w:val="28"/>
          <w:szCs w:val="28"/>
        </w:rPr>
        <w:t xml:space="preserve"> che si riferisce alla fornitura del sistema analitico per la microbiologia, trattandosi di attività formativa del personale strumentale alla corretta utilizzazione dei dispositivi;</w:t>
      </w:r>
    </w:p>
    <w:p w14:paraId="2A77109E" w14:textId="453EF16E" w:rsidR="00DC551E" w:rsidRDefault="00DC551E" w:rsidP="00DC551E">
      <w:pPr>
        <w:spacing w:after="0"/>
        <w:jc w:val="both"/>
        <w:rPr>
          <w:rFonts w:ascii="Times New Roman" w:hAnsi="Times New Roman" w:cs="Times New Roman"/>
          <w:sz w:val="28"/>
          <w:szCs w:val="28"/>
        </w:rPr>
      </w:pPr>
      <w:r w:rsidRPr="00DC551E">
        <w:rPr>
          <w:rFonts w:ascii="Times New Roman" w:hAnsi="Times New Roman" w:cs="Times New Roman"/>
          <w:sz w:val="28"/>
          <w:szCs w:val="28"/>
        </w:rPr>
        <w:t xml:space="preserve">- il valore della prestazione è, inoltre, del tutto </w:t>
      </w:r>
      <w:r w:rsidRPr="00DC551E">
        <w:rPr>
          <w:rFonts w:ascii="Times New Roman" w:hAnsi="Times New Roman" w:cs="Times New Roman"/>
          <w:b/>
          <w:bCs/>
          <w:sz w:val="28"/>
          <w:szCs w:val="28"/>
        </w:rPr>
        <w:t>irrisorio</w:t>
      </w:r>
      <w:r w:rsidRPr="00DC551E">
        <w:rPr>
          <w:rFonts w:ascii="Times New Roman" w:hAnsi="Times New Roman" w:cs="Times New Roman"/>
          <w:sz w:val="28"/>
          <w:szCs w:val="28"/>
        </w:rPr>
        <w:t xml:space="preserve"> rispetto al valore dell’appalto.</w:t>
      </w:r>
      <w:r>
        <w:rPr>
          <w:rFonts w:ascii="Times New Roman" w:hAnsi="Times New Roman" w:cs="Times New Roman"/>
          <w:sz w:val="28"/>
          <w:szCs w:val="28"/>
        </w:rPr>
        <w:t xml:space="preserve"> </w:t>
      </w:r>
    </w:p>
    <w:p w14:paraId="76E60BD4" w14:textId="10949F63" w:rsidR="00DC551E" w:rsidRDefault="00DC551E" w:rsidP="00DC551E">
      <w:pPr>
        <w:spacing w:after="0"/>
        <w:jc w:val="both"/>
        <w:rPr>
          <w:rFonts w:ascii="Times New Roman" w:hAnsi="Times New Roman" w:cs="Times New Roman"/>
          <w:sz w:val="28"/>
          <w:szCs w:val="28"/>
        </w:rPr>
      </w:pPr>
      <w:r>
        <w:rPr>
          <w:rFonts w:ascii="Times New Roman" w:hAnsi="Times New Roman" w:cs="Times New Roman"/>
          <w:sz w:val="28"/>
          <w:szCs w:val="28"/>
        </w:rPr>
        <w:t xml:space="preserve">_____________________ </w:t>
      </w:r>
    </w:p>
    <w:p w14:paraId="28EB5F88" w14:textId="77777777" w:rsidR="00DC551E" w:rsidRDefault="00DC551E" w:rsidP="00DC551E">
      <w:pPr>
        <w:spacing w:after="0"/>
        <w:jc w:val="both"/>
        <w:rPr>
          <w:rFonts w:ascii="Times New Roman" w:hAnsi="Times New Roman" w:cs="Times New Roman"/>
          <w:b/>
          <w:bCs/>
          <w:sz w:val="28"/>
          <w:szCs w:val="28"/>
        </w:rPr>
      </w:pPr>
    </w:p>
    <w:p w14:paraId="44BABAB1" w14:textId="77777777" w:rsidR="00753F84" w:rsidRPr="00753F84" w:rsidRDefault="00753F84" w:rsidP="00753F84">
      <w:pPr>
        <w:jc w:val="both"/>
        <w:rPr>
          <w:rFonts w:ascii="Times New Roman" w:hAnsi="Times New Roman" w:cs="Times New Roman"/>
          <w:b/>
          <w:sz w:val="24"/>
          <w:szCs w:val="24"/>
        </w:rPr>
      </w:pPr>
      <w:r w:rsidRPr="00753F84">
        <w:rPr>
          <w:rFonts w:ascii="Times New Roman" w:hAnsi="Times New Roman" w:cs="Times New Roman"/>
          <w:b/>
          <w:sz w:val="24"/>
          <w:szCs w:val="24"/>
        </w:rPr>
        <w:t>TAR TOSCANA, SEZ. II, sentenza 21 gennaio 2025, n. 95</w:t>
      </w:r>
    </w:p>
    <w:p w14:paraId="4A98EF98" w14:textId="77777777" w:rsidR="00753F84" w:rsidRPr="00753F84" w:rsidRDefault="00753F84" w:rsidP="00753F84">
      <w:pPr>
        <w:jc w:val="both"/>
        <w:rPr>
          <w:rFonts w:ascii="Times New Roman" w:hAnsi="Times New Roman" w:cs="Times New Roman"/>
          <w:b/>
          <w:i/>
          <w:iCs/>
          <w:sz w:val="24"/>
          <w:szCs w:val="24"/>
        </w:rPr>
      </w:pPr>
      <w:r w:rsidRPr="00753F84">
        <w:rPr>
          <w:rFonts w:ascii="Times New Roman" w:hAnsi="Times New Roman" w:cs="Times New Roman"/>
          <w:b/>
          <w:i/>
          <w:iCs/>
          <w:sz w:val="24"/>
          <w:szCs w:val="24"/>
        </w:rPr>
        <w:t>Sulla differenza tra subappalto e subfornitura</w:t>
      </w:r>
    </w:p>
    <w:p w14:paraId="682C6525" w14:textId="77777777" w:rsidR="00753F84" w:rsidRPr="00753F84" w:rsidRDefault="00753F84" w:rsidP="00753F84">
      <w:pPr>
        <w:jc w:val="both"/>
        <w:rPr>
          <w:rFonts w:ascii="Times New Roman" w:hAnsi="Times New Roman" w:cs="Times New Roman"/>
          <w:bCs/>
          <w:sz w:val="24"/>
          <w:szCs w:val="24"/>
        </w:rPr>
      </w:pPr>
      <w:r w:rsidRPr="00753F84">
        <w:rPr>
          <w:rFonts w:ascii="Times New Roman" w:hAnsi="Times New Roman" w:cs="Times New Roman"/>
          <w:bCs/>
          <w:sz w:val="24"/>
          <w:szCs w:val="24"/>
        </w:rPr>
        <w:t xml:space="preserve">L’elemento caratterizzante del subappalto si rinviene </w:t>
      </w:r>
      <w:r w:rsidRPr="00753F84">
        <w:rPr>
          <w:rFonts w:ascii="Times New Roman" w:hAnsi="Times New Roman" w:cs="Times New Roman"/>
          <w:b/>
          <w:sz w:val="24"/>
          <w:szCs w:val="24"/>
        </w:rPr>
        <w:t>nell’autonomia con cui il soggetto terzo esegue le prestazioni ad esso commissionate</w:t>
      </w:r>
      <w:r w:rsidRPr="00753F84">
        <w:rPr>
          <w:rFonts w:ascii="Times New Roman" w:hAnsi="Times New Roman" w:cs="Times New Roman"/>
          <w:bCs/>
          <w:sz w:val="24"/>
          <w:szCs w:val="24"/>
        </w:rPr>
        <w:t xml:space="preserve">, al contrario di ciò che avviene nella subfornitura, laddove l’impresa terza viene ad essere sostanzialmente inserita nel ciclo produttivo dell’appaltatore, con conseguente dipendenza tecnica – da valutarsi caso per caso e in rapporto alla natura della </w:t>
      </w:r>
      <w:r w:rsidRPr="00753F84">
        <w:rPr>
          <w:rFonts w:ascii="Times New Roman" w:hAnsi="Times New Roman" w:cs="Times New Roman"/>
          <w:bCs/>
          <w:sz w:val="24"/>
          <w:szCs w:val="24"/>
        </w:rPr>
        <w:lastRenderedPageBreak/>
        <w:t>lavorazione in concreto affidata in subfornitura – , e anche economica, da quest’ultimo: la cosiddetta dipendenza tecnica si pone come il risvolto operativo attraverso il quale normalmente si denota la dipendenza economica, di cui è elemento qualificante e sintomatico. Sul piano concettuale, questo elemento diversifica il rapporto di subfornitura commerciale (suscettibile di essere realizzato attraverso altri schemi negoziali) dal subappalto d’opera o di servizi, nel quale il subappaltatore è chiamato, nel raggiungimento del risultato, ad una prestazione rispondente ad autonomia non solo organizzativa e imprenditoriale, ma anche tecnico esecutiva.</w:t>
      </w:r>
    </w:p>
    <w:p w14:paraId="0A312EDC" w14:textId="77777777" w:rsidR="00753F84" w:rsidRPr="00753F84" w:rsidRDefault="00753F84" w:rsidP="00753F84">
      <w:pPr>
        <w:jc w:val="both"/>
        <w:rPr>
          <w:rFonts w:ascii="Times New Roman" w:hAnsi="Times New Roman" w:cs="Times New Roman"/>
          <w:b/>
          <w:sz w:val="24"/>
          <w:szCs w:val="24"/>
        </w:rPr>
      </w:pPr>
      <w:r w:rsidRPr="00753F84">
        <w:rPr>
          <w:rFonts w:ascii="Times New Roman" w:hAnsi="Times New Roman" w:cs="Times New Roman"/>
          <w:b/>
          <w:sz w:val="24"/>
          <w:szCs w:val="24"/>
        </w:rPr>
        <w:t>_________________________</w:t>
      </w:r>
    </w:p>
    <w:p w14:paraId="4CD050CA" w14:textId="77777777" w:rsidR="00753F84" w:rsidRDefault="00753F84" w:rsidP="00DC551E">
      <w:pPr>
        <w:spacing w:after="0"/>
        <w:jc w:val="both"/>
        <w:rPr>
          <w:rFonts w:ascii="Times New Roman" w:hAnsi="Times New Roman" w:cs="Times New Roman"/>
          <w:b/>
          <w:bCs/>
          <w:sz w:val="28"/>
          <w:szCs w:val="28"/>
        </w:rPr>
      </w:pPr>
    </w:p>
    <w:p w14:paraId="5AF5F5D4" w14:textId="77777777" w:rsidR="00DC551E" w:rsidRPr="00962C4F" w:rsidRDefault="00DC551E" w:rsidP="00DC551E">
      <w:pPr>
        <w:jc w:val="both"/>
        <w:rPr>
          <w:rFonts w:ascii="Times New Roman" w:hAnsi="Times New Roman" w:cs="Times New Roman"/>
          <w:b/>
          <w:bCs/>
          <w:sz w:val="24"/>
          <w:szCs w:val="24"/>
        </w:rPr>
      </w:pPr>
      <w:r w:rsidRPr="00962C4F">
        <w:rPr>
          <w:rFonts w:ascii="Times New Roman" w:hAnsi="Times New Roman" w:cs="Times New Roman"/>
          <w:b/>
          <w:bCs/>
          <w:sz w:val="24"/>
          <w:szCs w:val="24"/>
        </w:rPr>
        <w:t xml:space="preserve">TAR LAZIO – ROMA, SEZ. I bis – sentenza 14 giugno 2022 n. 7826 </w:t>
      </w:r>
    </w:p>
    <w:p w14:paraId="28E4BA15" w14:textId="77777777" w:rsidR="00DC551E" w:rsidRPr="00962C4F" w:rsidRDefault="00DC551E" w:rsidP="00DC551E">
      <w:pPr>
        <w:jc w:val="both"/>
        <w:rPr>
          <w:rFonts w:ascii="Times New Roman" w:hAnsi="Times New Roman" w:cs="Times New Roman"/>
          <w:b/>
          <w:bCs/>
          <w:sz w:val="24"/>
          <w:szCs w:val="24"/>
        </w:rPr>
      </w:pPr>
      <w:r w:rsidRPr="00962C4F">
        <w:rPr>
          <w:rFonts w:ascii="Times New Roman" w:hAnsi="Times New Roman" w:cs="Times New Roman"/>
          <w:b/>
          <w:bCs/>
          <w:sz w:val="24"/>
          <w:szCs w:val="24"/>
        </w:rPr>
        <w:t xml:space="preserve">Sulla differenza tra subappalto e </w:t>
      </w:r>
      <w:proofErr w:type="spellStart"/>
      <w:r w:rsidRPr="00962C4F">
        <w:rPr>
          <w:rFonts w:ascii="Times New Roman" w:hAnsi="Times New Roman" w:cs="Times New Roman"/>
          <w:b/>
          <w:bCs/>
          <w:sz w:val="24"/>
          <w:szCs w:val="24"/>
        </w:rPr>
        <w:t>subaffidamemto</w:t>
      </w:r>
      <w:proofErr w:type="spellEnd"/>
    </w:p>
    <w:p w14:paraId="2AF4ADF7" w14:textId="52E21306" w:rsidR="001E2477" w:rsidRDefault="00DC551E" w:rsidP="00DC551E">
      <w:pPr>
        <w:jc w:val="both"/>
        <w:rPr>
          <w:rFonts w:ascii="Times New Roman" w:hAnsi="Times New Roman" w:cs="Times New Roman"/>
          <w:sz w:val="24"/>
          <w:szCs w:val="24"/>
        </w:rPr>
      </w:pPr>
      <w:r w:rsidRPr="00962C4F">
        <w:rPr>
          <w:rFonts w:ascii="Times New Roman" w:hAnsi="Times New Roman" w:cs="Times New Roman"/>
          <w:sz w:val="24"/>
          <w:szCs w:val="24"/>
        </w:rPr>
        <w:t>Il subappalto è il contratto con cui l’appaltatore affida a terzi l’esecuzione di una parte delle prestazioni o lavorazioni oggetto del contratto di appalto, mentre diversi dal subappalto sono i contratti che hanno ad oggetto quei beni e servizi dei quali l’impresa aggiudicataria necessita per poter, essa sola, eseguire la prestazione oggetto del contratto d’appalto.</w:t>
      </w:r>
      <w:r w:rsidR="001E2477">
        <w:rPr>
          <w:rFonts w:ascii="Times New Roman" w:hAnsi="Times New Roman" w:cs="Times New Roman"/>
          <w:sz w:val="24"/>
          <w:szCs w:val="24"/>
        </w:rPr>
        <w:t xml:space="preserve"> </w:t>
      </w:r>
    </w:p>
    <w:p w14:paraId="475E19D8" w14:textId="71A03A97" w:rsidR="00DC551E" w:rsidRPr="00962C4F" w:rsidRDefault="00DC551E" w:rsidP="00DC551E">
      <w:pPr>
        <w:jc w:val="both"/>
        <w:rPr>
          <w:rFonts w:ascii="Times New Roman" w:hAnsi="Times New Roman" w:cs="Times New Roman"/>
          <w:sz w:val="24"/>
          <w:szCs w:val="24"/>
        </w:rPr>
      </w:pPr>
      <w:r w:rsidRPr="00962C4F">
        <w:rPr>
          <w:rFonts w:ascii="Times New Roman" w:hAnsi="Times New Roman" w:cs="Times New Roman"/>
          <w:sz w:val="24"/>
          <w:szCs w:val="24"/>
        </w:rPr>
        <w:t>Nel c.d. nolo a caldo, il noleggiatore non è obbligato al raggiungimento di uno scopo specifico, ma si limita esclusivamente a mettere a disposizione dell’affidatario l’attrezzatura di lavoro e il personale addetto al suo utilizzo. L’organizzazione del lavoro è quindi rimessa esclusivamente all’impresa affidataria. Non può, invece, parlarsi di nolo a caldo, ma è riscontrabile un vero e proprio subappalto, nel caso in cui l’operatore dell’attrezzatura non entri a far parte dell’organizzazione dell’impresa esecutrice e non agisca sotto le direttive di quest’ultima, quale semplice conduttore del mezzo di lavoro, ma gli venga affidata una lavorazione prevista dall’appalto, da eseguire direttamente e in piena autonomia.</w:t>
      </w:r>
      <w:r>
        <w:rPr>
          <w:rFonts w:ascii="Times New Roman" w:hAnsi="Times New Roman" w:cs="Times New Roman"/>
          <w:sz w:val="24"/>
          <w:szCs w:val="24"/>
        </w:rPr>
        <w:t xml:space="preserve"> </w:t>
      </w:r>
      <w:proofErr w:type="gramStart"/>
      <w:r w:rsidRPr="00962C4F">
        <w:rPr>
          <w:rFonts w:ascii="Times New Roman" w:hAnsi="Times New Roman" w:cs="Times New Roman"/>
          <w:sz w:val="24"/>
          <w:szCs w:val="24"/>
        </w:rPr>
        <w:t>E’</w:t>
      </w:r>
      <w:proofErr w:type="gramEnd"/>
      <w:r w:rsidRPr="00962C4F">
        <w:rPr>
          <w:rFonts w:ascii="Times New Roman" w:hAnsi="Times New Roman" w:cs="Times New Roman"/>
          <w:sz w:val="24"/>
          <w:szCs w:val="24"/>
        </w:rPr>
        <w:t xml:space="preserve"> illegittima l’aggiudicazione di una gara di appalto di servizi (nella specie, si trattava del servizio smaltimento rifiuti) disposta in favore di una società non in possesso dell’iscrizione all’ANGA, necessaria per le attività di raccolta e trasporto dei rifiuti, nel caso in cui la medesima società ha omesso, al riguardo, di fare ricorso al subappalto per l’esecuzione di tali prestazioni, rendendo la relativa dichiarazione al momento della presentazione dell’offerta.</w:t>
      </w:r>
    </w:p>
    <w:p w14:paraId="5C623EE4" w14:textId="77777777" w:rsidR="00DC551E" w:rsidRPr="00DC551E" w:rsidRDefault="00DC551E" w:rsidP="00DC551E">
      <w:pPr>
        <w:spacing w:after="0"/>
        <w:jc w:val="both"/>
        <w:rPr>
          <w:rFonts w:ascii="Times New Roman" w:hAnsi="Times New Roman" w:cs="Times New Roman"/>
          <w:b/>
          <w:bCs/>
          <w:sz w:val="28"/>
          <w:szCs w:val="28"/>
        </w:rPr>
      </w:pPr>
    </w:p>
    <w:p w14:paraId="6E010941" w14:textId="18BB468A" w:rsidR="00101B3F" w:rsidRDefault="00101B3F" w:rsidP="00101B3F">
      <w:pPr>
        <w:jc w:val="center"/>
        <w:rPr>
          <w:rFonts w:ascii="Times New Roman" w:hAnsi="Times New Roman" w:cs="Times New Roman"/>
          <w:b/>
          <w:bCs/>
          <w:sz w:val="24"/>
          <w:szCs w:val="24"/>
        </w:rPr>
      </w:pPr>
      <w:r w:rsidRPr="00656217">
        <w:rPr>
          <w:rFonts w:ascii="Times New Roman" w:hAnsi="Times New Roman" w:cs="Times New Roman"/>
          <w:b/>
          <w:bCs/>
          <w:sz w:val="24"/>
          <w:szCs w:val="24"/>
          <w:highlight w:val="yellow"/>
        </w:rPr>
        <w:t>QUANTIFICAZIONE VALORE DELL’APPALTO</w:t>
      </w:r>
      <w:r>
        <w:rPr>
          <w:rFonts w:ascii="Times New Roman" w:hAnsi="Times New Roman" w:cs="Times New Roman"/>
          <w:b/>
          <w:bCs/>
          <w:sz w:val="24"/>
          <w:szCs w:val="24"/>
        </w:rPr>
        <w:t xml:space="preserve"> </w:t>
      </w:r>
    </w:p>
    <w:p w14:paraId="31738465" w14:textId="77777777" w:rsidR="00101B3F" w:rsidRPr="00101B3F" w:rsidRDefault="00101B3F" w:rsidP="00101B3F">
      <w:pPr>
        <w:jc w:val="both"/>
        <w:rPr>
          <w:rFonts w:ascii="Times New Roman" w:hAnsi="Times New Roman" w:cs="Times New Roman"/>
          <w:b/>
          <w:bCs/>
          <w:sz w:val="24"/>
          <w:szCs w:val="24"/>
        </w:rPr>
      </w:pPr>
      <w:r w:rsidRPr="00101B3F">
        <w:rPr>
          <w:rFonts w:ascii="Times New Roman" w:hAnsi="Times New Roman" w:cs="Times New Roman"/>
          <w:b/>
          <w:bCs/>
          <w:sz w:val="24"/>
          <w:szCs w:val="24"/>
        </w:rPr>
        <w:t>Tar Lombardia, Milano, Sez. I, 30.01.2025, n. 329</w:t>
      </w:r>
    </w:p>
    <w:p w14:paraId="322E1659" w14:textId="77777777" w:rsidR="00101B3F" w:rsidRPr="00101B3F" w:rsidRDefault="00101B3F" w:rsidP="00101B3F">
      <w:pPr>
        <w:jc w:val="both"/>
        <w:rPr>
          <w:rFonts w:ascii="Times New Roman" w:hAnsi="Times New Roman" w:cs="Times New Roman"/>
          <w:b/>
          <w:bCs/>
          <w:sz w:val="24"/>
          <w:szCs w:val="24"/>
        </w:rPr>
      </w:pPr>
      <w:r w:rsidRPr="00101B3F">
        <w:rPr>
          <w:rFonts w:ascii="Times New Roman" w:hAnsi="Times New Roman" w:cs="Times New Roman"/>
          <w:b/>
          <w:bCs/>
          <w:sz w:val="24"/>
          <w:szCs w:val="24"/>
        </w:rPr>
        <w:t>Sulla corretta quantificazione del valore dell'appalto</w:t>
      </w:r>
    </w:p>
    <w:p w14:paraId="2D1B800C" w14:textId="77777777" w:rsidR="00101B3F" w:rsidRPr="00101B3F" w:rsidRDefault="00101B3F" w:rsidP="00101B3F">
      <w:pPr>
        <w:jc w:val="both"/>
        <w:rPr>
          <w:rFonts w:ascii="Times New Roman" w:hAnsi="Times New Roman" w:cs="Times New Roman"/>
          <w:sz w:val="24"/>
          <w:szCs w:val="24"/>
        </w:rPr>
      </w:pPr>
      <w:r w:rsidRPr="00101B3F">
        <w:rPr>
          <w:rFonts w:ascii="Times New Roman" w:hAnsi="Times New Roman" w:cs="Times New Roman"/>
          <w:sz w:val="24"/>
          <w:szCs w:val="24"/>
        </w:rPr>
        <w:t xml:space="preserve">A dispetto della precedente formulazione dell’art. 106 del D.lgs. n. 50/2016, l’art. 120 ha impresso agli istituti in analisi una differente fisionomia, tale che, ad avviso del Collegio, ove previsti dalla </w:t>
      </w:r>
      <w:proofErr w:type="spellStart"/>
      <w:r w:rsidRPr="00101B3F">
        <w:rPr>
          <w:rFonts w:ascii="Times New Roman" w:hAnsi="Times New Roman" w:cs="Times New Roman"/>
          <w:sz w:val="24"/>
          <w:szCs w:val="24"/>
        </w:rPr>
        <w:t>lex</w:t>
      </w:r>
      <w:proofErr w:type="spellEnd"/>
      <w:r w:rsidRPr="00101B3F">
        <w:rPr>
          <w:rFonts w:ascii="Times New Roman" w:hAnsi="Times New Roman" w:cs="Times New Roman"/>
          <w:sz w:val="24"/>
          <w:szCs w:val="24"/>
        </w:rPr>
        <w:t xml:space="preserve"> </w:t>
      </w:r>
      <w:proofErr w:type="spellStart"/>
      <w:r w:rsidRPr="00101B3F">
        <w:rPr>
          <w:rFonts w:ascii="Times New Roman" w:hAnsi="Times New Roman" w:cs="Times New Roman"/>
          <w:sz w:val="24"/>
          <w:szCs w:val="24"/>
        </w:rPr>
        <w:t>specialis</w:t>
      </w:r>
      <w:proofErr w:type="spellEnd"/>
      <w:r w:rsidRPr="00101B3F">
        <w:rPr>
          <w:rFonts w:ascii="Times New Roman" w:hAnsi="Times New Roman" w:cs="Times New Roman"/>
          <w:sz w:val="24"/>
          <w:szCs w:val="24"/>
        </w:rPr>
        <w:t>, gli importi a questi afferenti non possono essere esclusi dal calcolo dell’importo globale della commessa.</w:t>
      </w:r>
    </w:p>
    <w:p w14:paraId="502B91DA" w14:textId="77777777" w:rsidR="00101B3F" w:rsidRPr="00101B3F" w:rsidRDefault="00101B3F" w:rsidP="00101B3F">
      <w:pPr>
        <w:jc w:val="both"/>
        <w:rPr>
          <w:rFonts w:ascii="Times New Roman" w:hAnsi="Times New Roman" w:cs="Times New Roman"/>
          <w:sz w:val="24"/>
          <w:szCs w:val="24"/>
        </w:rPr>
      </w:pPr>
      <w:r w:rsidRPr="00101B3F">
        <w:rPr>
          <w:rFonts w:ascii="Times New Roman" w:hAnsi="Times New Roman" w:cs="Times New Roman"/>
          <w:sz w:val="24"/>
          <w:szCs w:val="24"/>
        </w:rPr>
        <w:t xml:space="preserve">Nello specifico, il </w:t>
      </w:r>
      <w:r w:rsidRPr="00151458">
        <w:rPr>
          <w:rFonts w:ascii="Times New Roman" w:hAnsi="Times New Roman" w:cs="Times New Roman"/>
          <w:b/>
          <w:bCs/>
          <w:sz w:val="24"/>
          <w:szCs w:val="24"/>
        </w:rPr>
        <w:t>quinto d’obbligo di cui al comma 9</w:t>
      </w:r>
      <w:r w:rsidRPr="00101B3F">
        <w:rPr>
          <w:rFonts w:ascii="Times New Roman" w:hAnsi="Times New Roman" w:cs="Times New Roman"/>
          <w:sz w:val="24"/>
          <w:szCs w:val="24"/>
        </w:rPr>
        <w:t xml:space="preserve"> ha assunto propriamente la natura di “</w:t>
      </w:r>
      <w:r w:rsidRPr="00151458">
        <w:rPr>
          <w:rFonts w:ascii="Times New Roman" w:hAnsi="Times New Roman" w:cs="Times New Roman"/>
          <w:b/>
          <w:bCs/>
          <w:sz w:val="24"/>
          <w:szCs w:val="24"/>
        </w:rPr>
        <w:t>opzione contrattuale”</w:t>
      </w:r>
      <w:r w:rsidRPr="00101B3F">
        <w:rPr>
          <w:rFonts w:ascii="Times New Roman" w:hAnsi="Times New Roman" w:cs="Times New Roman"/>
          <w:sz w:val="24"/>
          <w:szCs w:val="24"/>
        </w:rPr>
        <w:t>, attivabile dall’Amministrazione non più automaticamente ma soltanto ove prevista ab origine nei documenti iniziali di gara, ciò al fine di rendere la sua previsione compatibile con le fattispecie di “modifica” dell’appalto consentite dall’art. 72 della Direttiva 2014/24/UE.</w:t>
      </w:r>
    </w:p>
    <w:p w14:paraId="07103B06" w14:textId="77777777" w:rsidR="00101B3F" w:rsidRPr="00101B3F" w:rsidRDefault="00101B3F" w:rsidP="00101B3F">
      <w:pPr>
        <w:jc w:val="both"/>
        <w:rPr>
          <w:rFonts w:ascii="Times New Roman" w:hAnsi="Times New Roman" w:cs="Times New Roman"/>
          <w:sz w:val="24"/>
          <w:szCs w:val="24"/>
        </w:rPr>
      </w:pPr>
      <w:r w:rsidRPr="00151458">
        <w:rPr>
          <w:rFonts w:ascii="Times New Roman" w:hAnsi="Times New Roman" w:cs="Times New Roman"/>
          <w:b/>
          <w:bCs/>
          <w:sz w:val="24"/>
          <w:szCs w:val="24"/>
        </w:rPr>
        <w:t>La proroga tecnica,</w:t>
      </w:r>
      <w:r w:rsidRPr="00101B3F">
        <w:rPr>
          <w:rFonts w:ascii="Times New Roman" w:hAnsi="Times New Roman" w:cs="Times New Roman"/>
          <w:sz w:val="24"/>
          <w:szCs w:val="24"/>
        </w:rPr>
        <w:t xml:space="preserve"> invece, con il </w:t>
      </w:r>
      <w:r w:rsidRPr="00151458">
        <w:rPr>
          <w:rFonts w:ascii="Times New Roman" w:hAnsi="Times New Roman" w:cs="Times New Roman"/>
          <w:b/>
          <w:bCs/>
          <w:sz w:val="24"/>
          <w:szCs w:val="24"/>
        </w:rPr>
        <w:t>comma 11</w:t>
      </w:r>
      <w:r w:rsidRPr="00101B3F">
        <w:rPr>
          <w:rFonts w:ascii="Times New Roman" w:hAnsi="Times New Roman" w:cs="Times New Roman"/>
          <w:sz w:val="24"/>
          <w:szCs w:val="24"/>
        </w:rPr>
        <w:t xml:space="preserve"> è stata </w:t>
      </w:r>
      <w:r w:rsidRPr="00151458">
        <w:rPr>
          <w:rFonts w:ascii="Times New Roman" w:hAnsi="Times New Roman" w:cs="Times New Roman"/>
          <w:b/>
          <w:bCs/>
          <w:sz w:val="24"/>
          <w:szCs w:val="24"/>
        </w:rPr>
        <w:t>distinta</w:t>
      </w:r>
      <w:r w:rsidRPr="00101B3F">
        <w:rPr>
          <w:rFonts w:ascii="Times New Roman" w:hAnsi="Times New Roman" w:cs="Times New Roman"/>
          <w:sz w:val="24"/>
          <w:szCs w:val="24"/>
        </w:rPr>
        <w:t xml:space="preserve"> nel nuovo Codice </w:t>
      </w:r>
      <w:r w:rsidRPr="00151458">
        <w:rPr>
          <w:rFonts w:ascii="Times New Roman" w:hAnsi="Times New Roman" w:cs="Times New Roman"/>
          <w:b/>
          <w:bCs/>
          <w:sz w:val="24"/>
          <w:szCs w:val="24"/>
        </w:rPr>
        <w:t>dall’opzione di proroga di cui al comma 10, i</w:t>
      </w:r>
      <w:r w:rsidRPr="00101B3F">
        <w:rPr>
          <w:rFonts w:ascii="Times New Roman" w:hAnsi="Times New Roman" w:cs="Times New Roman"/>
          <w:sz w:val="24"/>
          <w:szCs w:val="24"/>
        </w:rPr>
        <w:t xml:space="preserve">n quanto azionabile solo in “casi eccezionali”, per il tempo strettamente </w:t>
      </w:r>
      <w:r w:rsidRPr="00101B3F">
        <w:rPr>
          <w:rFonts w:ascii="Times New Roman" w:hAnsi="Times New Roman" w:cs="Times New Roman"/>
          <w:sz w:val="24"/>
          <w:szCs w:val="24"/>
        </w:rPr>
        <w:lastRenderedPageBreak/>
        <w:t>necessario alla conclusione della procedura e, soprattutto, senza possibilità alcuna di modifica dei prezzi, patti e condizioni previsti nel contratto per l’ultimazione della commessa.</w:t>
      </w:r>
    </w:p>
    <w:p w14:paraId="00508440" w14:textId="77777777" w:rsidR="00101B3F" w:rsidRPr="00101B3F" w:rsidRDefault="00101B3F" w:rsidP="00101B3F">
      <w:pPr>
        <w:jc w:val="both"/>
        <w:rPr>
          <w:rFonts w:ascii="Times New Roman" w:hAnsi="Times New Roman" w:cs="Times New Roman"/>
          <w:sz w:val="24"/>
          <w:szCs w:val="24"/>
        </w:rPr>
      </w:pPr>
      <w:r w:rsidRPr="00761DD4">
        <w:rPr>
          <w:rFonts w:ascii="Times New Roman" w:hAnsi="Times New Roman" w:cs="Times New Roman"/>
          <w:b/>
          <w:bCs/>
          <w:sz w:val="24"/>
          <w:szCs w:val="24"/>
        </w:rPr>
        <w:t>La specificità di tale ipotesi di proroga contrattuale, tuttavia, non elide</w:t>
      </w:r>
      <w:r w:rsidRPr="00101B3F">
        <w:rPr>
          <w:rFonts w:ascii="Times New Roman" w:hAnsi="Times New Roman" w:cs="Times New Roman"/>
          <w:sz w:val="24"/>
          <w:szCs w:val="24"/>
        </w:rPr>
        <w:t xml:space="preserve">, ad avviso del Collegio, </w:t>
      </w:r>
      <w:r w:rsidRPr="00761DD4">
        <w:rPr>
          <w:rFonts w:ascii="Times New Roman" w:hAnsi="Times New Roman" w:cs="Times New Roman"/>
          <w:b/>
          <w:bCs/>
          <w:sz w:val="24"/>
          <w:szCs w:val="24"/>
        </w:rPr>
        <w:t xml:space="preserve">l’onere in capo alla S.A. che questa venga puntualmente prevista nella </w:t>
      </w:r>
      <w:proofErr w:type="spellStart"/>
      <w:r w:rsidRPr="00761DD4">
        <w:rPr>
          <w:rFonts w:ascii="Times New Roman" w:hAnsi="Times New Roman" w:cs="Times New Roman"/>
          <w:b/>
          <w:bCs/>
          <w:sz w:val="24"/>
          <w:szCs w:val="24"/>
        </w:rPr>
        <w:t>lex</w:t>
      </w:r>
      <w:proofErr w:type="spellEnd"/>
      <w:r w:rsidRPr="00761DD4">
        <w:rPr>
          <w:rFonts w:ascii="Times New Roman" w:hAnsi="Times New Roman" w:cs="Times New Roman"/>
          <w:b/>
          <w:bCs/>
          <w:sz w:val="24"/>
          <w:szCs w:val="24"/>
        </w:rPr>
        <w:t xml:space="preserve"> </w:t>
      </w:r>
      <w:proofErr w:type="spellStart"/>
      <w:r w:rsidRPr="00761DD4">
        <w:rPr>
          <w:rFonts w:ascii="Times New Roman" w:hAnsi="Times New Roman" w:cs="Times New Roman"/>
          <w:b/>
          <w:bCs/>
          <w:sz w:val="24"/>
          <w:szCs w:val="24"/>
        </w:rPr>
        <w:t>specialis</w:t>
      </w:r>
      <w:proofErr w:type="spellEnd"/>
      <w:r w:rsidRPr="00101B3F">
        <w:rPr>
          <w:rFonts w:ascii="Times New Roman" w:hAnsi="Times New Roman" w:cs="Times New Roman"/>
          <w:sz w:val="24"/>
          <w:szCs w:val="24"/>
        </w:rPr>
        <w:t xml:space="preserve">, pena la violazione del principio inderogabile, fissato dal Legislatore per ragioni di interesse pubblico, in forza del quale l’Amministrazione, una volta scaduto il contratto, deve procedere all’indizione di una nuova gara pubblica, qualora ravvisasse ancora la necessità di avvalersi dello stesso tipo di prestazioni (cfr. ex </w:t>
      </w:r>
      <w:proofErr w:type="spellStart"/>
      <w:r w:rsidRPr="00101B3F">
        <w:rPr>
          <w:rFonts w:ascii="Times New Roman" w:hAnsi="Times New Roman" w:cs="Times New Roman"/>
          <w:sz w:val="24"/>
          <w:szCs w:val="24"/>
        </w:rPr>
        <w:t>multis</w:t>
      </w:r>
      <w:proofErr w:type="spellEnd"/>
      <w:r w:rsidRPr="00101B3F">
        <w:rPr>
          <w:rFonts w:ascii="Times New Roman" w:hAnsi="Times New Roman" w:cs="Times New Roman"/>
          <w:sz w:val="24"/>
          <w:szCs w:val="24"/>
        </w:rPr>
        <w:t xml:space="preserve">, Cons. Stato, Sez. V, 12 settembre 2023, n. 8292); </w:t>
      </w:r>
      <w:r w:rsidRPr="00151458">
        <w:rPr>
          <w:rFonts w:ascii="Times New Roman" w:hAnsi="Times New Roman" w:cs="Times New Roman"/>
          <w:b/>
          <w:bCs/>
          <w:sz w:val="24"/>
          <w:szCs w:val="24"/>
        </w:rPr>
        <w:t>sicché le proroghe dei contratti affidati con gara, qualunque natura abbiano, “</w:t>
      </w:r>
      <w:r w:rsidRPr="00761DD4">
        <w:rPr>
          <w:rFonts w:ascii="Times New Roman" w:hAnsi="Times New Roman" w:cs="Times New Roman"/>
          <w:b/>
          <w:bCs/>
          <w:sz w:val="24"/>
          <w:szCs w:val="24"/>
          <w:u w:val="single"/>
        </w:rPr>
        <w:t>sono consentite se già previste ab origine e comunque entro termini determinati</w:t>
      </w:r>
      <w:r w:rsidRPr="00761DD4">
        <w:rPr>
          <w:rFonts w:ascii="Times New Roman" w:hAnsi="Times New Roman" w:cs="Times New Roman"/>
          <w:sz w:val="24"/>
          <w:szCs w:val="24"/>
          <w:u w:val="single"/>
        </w:rPr>
        <w:t xml:space="preserve">, </w:t>
      </w:r>
      <w:r w:rsidRPr="00761DD4">
        <w:rPr>
          <w:rFonts w:ascii="Times New Roman" w:hAnsi="Times New Roman" w:cs="Times New Roman"/>
          <w:b/>
          <w:bCs/>
          <w:sz w:val="24"/>
          <w:szCs w:val="24"/>
        </w:rPr>
        <w:t xml:space="preserve">mentre una volta che il contratto scada e si proceda ad una proroga non prevista originariamente, </w:t>
      </w:r>
      <w:r w:rsidRPr="00101B3F">
        <w:rPr>
          <w:rFonts w:ascii="Times New Roman" w:hAnsi="Times New Roman" w:cs="Times New Roman"/>
          <w:sz w:val="24"/>
          <w:szCs w:val="24"/>
        </w:rPr>
        <w:t xml:space="preserve">o oltre i limiti temporali consentiti (ovvero senza limiti predeterminati ed espliciti), la stessa proroga dovrebbe essere equiparata ad </w:t>
      </w:r>
      <w:r w:rsidRPr="00761DD4">
        <w:rPr>
          <w:rFonts w:ascii="Times New Roman" w:hAnsi="Times New Roman" w:cs="Times New Roman"/>
          <w:b/>
          <w:bCs/>
          <w:sz w:val="24"/>
          <w:szCs w:val="24"/>
        </w:rPr>
        <w:t>un affidamento senza gara</w:t>
      </w:r>
      <w:r w:rsidRPr="00101B3F">
        <w:rPr>
          <w:rFonts w:ascii="Times New Roman" w:hAnsi="Times New Roman" w:cs="Times New Roman"/>
          <w:sz w:val="24"/>
          <w:szCs w:val="24"/>
        </w:rPr>
        <w:t>” (cfr. Cons. Stato, Sez. III, 3 aprile 2017, n. 1521).</w:t>
      </w:r>
    </w:p>
    <w:p w14:paraId="6D9B9ABC" w14:textId="77777777" w:rsidR="00101B3F" w:rsidRDefault="00101B3F" w:rsidP="00101B3F">
      <w:pPr>
        <w:jc w:val="both"/>
        <w:rPr>
          <w:rFonts w:ascii="Times New Roman" w:hAnsi="Times New Roman" w:cs="Times New Roman"/>
          <w:sz w:val="24"/>
          <w:szCs w:val="24"/>
        </w:rPr>
      </w:pPr>
      <w:r w:rsidRPr="00101B3F">
        <w:rPr>
          <w:rFonts w:ascii="Times New Roman" w:hAnsi="Times New Roman" w:cs="Times New Roman"/>
          <w:sz w:val="24"/>
          <w:szCs w:val="24"/>
        </w:rPr>
        <w:t xml:space="preserve">21. Tirando le fila del discorso, quindi, in forza delle caratteristiche sopra delineate, </w:t>
      </w:r>
      <w:r w:rsidRPr="00151458">
        <w:rPr>
          <w:rFonts w:ascii="Times New Roman" w:hAnsi="Times New Roman" w:cs="Times New Roman"/>
          <w:b/>
          <w:bCs/>
          <w:sz w:val="24"/>
          <w:szCs w:val="24"/>
        </w:rPr>
        <w:t xml:space="preserve">tanto il quinto d’obbligo quanto la proroga tecnica estendono il perimetro delle obbligazioni contrattuali </w:t>
      </w:r>
      <w:r w:rsidRPr="00101B3F">
        <w:rPr>
          <w:rFonts w:ascii="Times New Roman" w:hAnsi="Times New Roman" w:cs="Times New Roman"/>
          <w:sz w:val="24"/>
          <w:szCs w:val="24"/>
        </w:rPr>
        <w:t xml:space="preserve">previste dall’appalto o in senso “quantitativo” (quinto d’obbligo) o in senso dell’“estensione temporale” (proroga tecnica), sicché, ad avviso del Collegio, sorge il complesso onere in capo alla S.A. di specifica previsione degli stessi nella </w:t>
      </w:r>
      <w:proofErr w:type="spellStart"/>
      <w:r w:rsidRPr="00101B3F">
        <w:rPr>
          <w:rFonts w:ascii="Times New Roman" w:hAnsi="Times New Roman" w:cs="Times New Roman"/>
          <w:sz w:val="24"/>
          <w:szCs w:val="24"/>
        </w:rPr>
        <w:t>lex</w:t>
      </w:r>
      <w:proofErr w:type="spellEnd"/>
      <w:r w:rsidRPr="00101B3F">
        <w:rPr>
          <w:rFonts w:ascii="Times New Roman" w:hAnsi="Times New Roman" w:cs="Times New Roman"/>
          <w:sz w:val="24"/>
          <w:szCs w:val="24"/>
        </w:rPr>
        <w:t xml:space="preserve"> </w:t>
      </w:r>
      <w:proofErr w:type="spellStart"/>
      <w:r w:rsidRPr="00101B3F">
        <w:rPr>
          <w:rFonts w:ascii="Times New Roman" w:hAnsi="Times New Roman" w:cs="Times New Roman"/>
          <w:sz w:val="24"/>
          <w:szCs w:val="24"/>
        </w:rPr>
        <w:t>specialis</w:t>
      </w:r>
      <w:proofErr w:type="spellEnd"/>
      <w:r w:rsidRPr="00101B3F">
        <w:rPr>
          <w:rFonts w:ascii="Times New Roman" w:hAnsi="Times New Roman" w:cs="Times New Roman"/>
          <w:sz w:val="24"/>
          <w:szCs w:val="24"/>
        </w:rPr>
        <w:t xml:space="preserve">, di conseguente </w:t>
      </w:r>
      <w:r w:rsidRPr="00151458">
        <w:rPr>
          <w:rFonts w:ascii="Times New Roman" w:hAnsi="Times New Roman" w:cs="Times New Roman"/>
          <w:b/>
          <w:bCs/>
          <w:sz w:val="24"/>
          <w:szCs w:val="24"/>
        </w:rPr>
        <w:t>quantificazione del loro valore economico e</w:t>
      </w:r>
      <w:r w:rsidRPr="00101B3F">
        <w:rPr>
          <w:rFonts w:ascii="Times New Roman" w:hAnsi="Times New Roman" w:cs="Times New Roman"/>
          <w:sz w:val="24"/>
          <w:szCs w:val="24"/>
        </w:rPr>
        <w:t>, infine, di inclusione dei relativi importi nel complesso valore contrattuale stimato dalla S.A. ai sensi dell’art. 14, comma 4 del D.lgs. n. 36/2023 (come peraltro previsto dal bando tipo ANAC n. 1/2023).</w:t>
      </w:r>
    </w:p>
    <w:p w14:paraId="534B3ADE" w14:textId="673F3713" w:rsidR="00101B3F" w:rsidRDefault="00101B3F" w:rsidP="00101B3F">
      <w:pPr>
        <w:jc w:val="both"/>
        <w:rPr>
          <w:rFonts w:ascii="Times New Roman" w:hAnsi="Times New Roman" w:cs="Times New Roman"/>
          <w:sz w:val="24"/>
          <w:szCs w:val="24"/>
        </w:rPr>
      </w:pPr>
      <w:r w:rsidRPr="00101B3F">
        <w:rPr>
          <w:rFonts w:ascii="Times New Roman" w:hAnsi="Times New Roman" w:cs="Times New Roman"/>
          <w:sz w:val="24"/>
          <w:szCs w:val="24"/>
        </w:rPr>
        <w:t>E assolvendo al suddetto onere, nel caso di specie la resistente ha specificamente previsto nell’art. 5 del disciplinare di gara sia il quinto d’obbligo (§ 1) che la proroga tecnica (§ 3), e, di conseguenza, ha stimato il valore complessivo dell’appalto in euro 37.700,00 milioni, iva esclusa, così strutturato: - base d’asta per €29.000.000; - quinto d’obbligo per €5.800.000; - proroga tecnica (6 mesi) per €2.900.000.</w:t>
      </w:r>
    </w:p>
    <w:p w14:paraId="21B7F982" w14:textId="27DE03EF" w:rsidR="00101B3F" w:rsidRDefault="00101B3F" w:rsidP="00101B3F">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
    <w:p w14:paraId="4AD66D4B" w14:textId="3CE8F729" w:rsidR="00B039CD" w:rsidRPr="00B039CD" w:rsidRDefault="00B039CD" w:rsidP="00B039CD">
      <w:pPr>
        <w:jc w:val="center"/>
        <w:rPr>
          <w:rFonts w:ascii="Times New Roman" w:hAnsi="Times New Roman" w:cs="Times New Roman"/>
          <w:b/>
          <w:bCs/>
          <w:sz w:val="28"/>
          <w:szCs w:val="28"/>
        </w:rPr>
      </w:pPr>
      <w:r w:rsidRPr="00B039CD">
        <w:rPr>
          <w:rFonts w:ascii="Times New Roman" w:hAnsi="Times New Roman" w:cs="Times New Roman"/>
          <w:b/>
          <w:bCs/>
          <w:sz w:val="28"/>
          <w:szCs w:val="28"/>
          <w:highlight w:val="yellow"/>
        </w:rPr>
        <w:t>SUL CONTROLLO DEI REQUSITI</w:t>
      </w:r>
    </w:p>
    <w:p w14:paraId="44C135B4" w14:textId="1C4CD6BA" w:rsidR="00101B3F" w:rsidRPr="00101B3F" w:rsidRDefault="00101B3F" w:rsidP="00B039CD">
      <w:pPr>
        <w:spacing w:after="0"/>
        <w:jc w:val="both"/>
        <w:rPr>
          <w:rFonts w:ascii="Times New Roman" w:hAnsi="Times New Roman" w:cs="Times New Roman"/>
          <w:b/>
          <w:bCs/>
          <w:sz w:val="24"/>
          <w:szCs w:val="24"/>
        </w:rPr>
      </w:pPr>
      <w:r w:rsidRPr="00101B3F">
        <w:rPr>
          <w:rFonts w:ascii="Times New Roman" w:hAnsi="Times New Roman" w:cs="Times New Roman"/>
          <w:b/>
          <w:bCs/>
          <w:sz w:val="24"/>
          <w:szCs w:val="24"/>
        </w:rPr>
        <w:t>Tar Campania, Napoli, Sez. VIII, 7.01.2025, n. 109</w:t>
      </w:r>
    </w:p>
    <w:p w14:paraId="16D2B4FE" w14:textId="71E6ECDE" w:rsidR="00101B3F" w:rsidRPr="00101B3F" w:rsidRDefault="00101B3F" w:rsidP="00B039CD">
      <w:pPr>
        <w:spacing w:after="0"/>
        <w:jc w:val="both"/>
        <w:rPr>
          <w:rFonts w:ascii="Times New Roman" w:hAnsi="Times New Roman" w:cs="Times New Roman"/>
          <w:b/>
          <w:bCs/>
          <w:i/>
          <w:iCs/>
          <w:sz w:val="24"/>
          <w:szCs w:val="24"/>
        </w:rPr>
      </w:pPr>
      <w:r>
        <w:rPr>
          <w:rFonts w:ascii="Times New Roman" w:hAnsi="Times New Roman" w:cs="Times New Roman"/>
          <w:b/>
          <w:bCs/>
          <w:i/>
          <w:iCs/>
          <w:sz w:val="24"/>
          <w:szCs w:val="24"/>
        </w:rPr>
        <w:t>S</w:t>
      </w:r>
      <w:r w:rsidRPr="00101B3F">
        <w:rPr>
          <w:rFonts w:ascii="Times New Roman" w:hAnsi="Times New Roman" w:cs="Times New Roman"/>
          <w:b/>
          <w:bCs/>
          <w:i/>
          <w:iCs/>
          <w:sz w:val="24"/>
          <w:szCs w:val="24"/>
        </w:rPr>
        <w:t>ull’espletamento dei controlli in caso di cessione di azienda</w:t>
      </w:r>
    </w:p>
    <w:p w14:paraId="0B401DCB" w14:textId="49CB4995" w:rsidR="00101B3F" w:rsidRPr="00101B3F" w:rsidRDefault="00101B3F" w:rsidP="00B039CD">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Deve innanzitutto rilevarsi che la fattispecie oggetto di censura è un’operazione di </w:t>
      </w:r>
      <w:r w:rsidRPr="00761DD4">
        <w:rPr>
          <w:rFonts w:ascii="Times New Roman" w:hAnsi="Times New Roman" w:cs="Times New Roman"/>
          <w:b/>
          <w:bCs/>
          <w:sz w:val="24"/>
          <w:szCs w:val="24"/>
        </w:rPr>
        <w:t>cessione di azienda e non di affitto</w:t>
      </w:r>
      <w:r w:rsidRPr="00101B3F">
        <w:rPr>
          <w:rFonts w:ascii="Times New Roman" w:hAnsi="Times New Roman" w:cs="Times New Roman"/>
          <w:sz w:val="24"/>
          <w:szCs w:val="24"/>
        </w:rPr>
        <w:t>, alla quale si riferisce, invece, la giurisprudenza invocata da parte ricorrente a supporto delle proprie pretese.</w:t>
      </w:r>
    </w:p>
    <w:p w14:paraId="2D364E99" w14:textId="77777777" w:rsidR="00101B3F" w:rsidRPr="00761DD4" w:rsidRDefault="00101B3F" w:rsidP="00101B3F">
      <w:pPr>
        <w:spacing w:after="0"/>
        <w:jc w:val="both"/>
        <w:rPr>
          <w:rFonts w:ascii="Times New Roman" w:hAnsi="Times New Roman" w:cs="Times New Roman"/>
          <w:b/>
          <w:bCs/>
          <w:sz w:val="24"/>
          <w:szCs w:val="24"/>
        </w:rPr>
      </w:pPr>
      <w:r w:rsidRPr="00101B3F">
        <w:rPr>
          <w:rFonts w:ascii="Times New Roman" w:hAnsi="Times New Roman" w:cs="Times New Roman"/>
          <w:sz w:val="24"/>
          <w:szCs w:val="24"/>
        </w:rPr>
        <w:t xml:space="preserve">Nelle operazioni di cessione </w:t>
      </w:r>
      <w:r w:rsidRPr="00761DD4">
        <w:rPr>
          <w:rFonts w:ascii="Times New Roman" w:hAnsi="Times New Roman" w:cs="Times New Roman"/>
          <w:b/>
          <w:bCs/>
          <w:sz w:val="24"/>
          <w:szCs w:val="24"/>
        </w:rPr>
        <w:t>il compendio aziendale si trasferisce a titolo definitivo, realizzando così, almeno dal punto di vista formale una cesura che rende difficilmente ravvisabile quella continuità gestoria più palpabile nell’ambito dell’affitto di azienda in cui la titolarità dell’azienda permane in capo alla società locatrice.</w:t>
      </w:r>
    </w:p>
    <w:p w14:paraId="0CDA4CB3" w14:textId="77777777"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Peraltro è utile evidenziare che nel nuovo codice si assiste ad una ulteriore </w:t>
      </w:r>
      <w:proofErr w:type="spellStart"/>
      <w:r w:rsidRPr="00101B3F">
        <w:rPr>
          <w:rFonts w:ascii="Times New Roman" w:hAnsi="Times New Roman" w:cs="Times New Roman"/>
          <w:sz w:val="24"/>
          <w:szCs w:val="24"/>
        </w:rPr>
        <w:t>tassativizzazione</w:t>
      </w:r>
      <w:proofErr w:type="spellEnd"/>
      <w:r w:rsidRPr="00101B3F">
        <w:rPr>
          <w:rFonts w:ascii="Times New Roman" w:hAnsi="Times New Roman" w:cs="Times New Roman"/>
          <w:sz w:val="24"/>
          <w:szCs w:val="24"/>
        </w:rPr>
        <w:t xml:space="preserve"> delle cause di esclusione con la conseguenza che le ipotesi di estensione delle stesse sono da considerarsi eccezionali. Sotto questo profilo rileva che nel Codice dei contratti pubblici </w:t>
      </w:r>
      <w:r w:rsidRPr="00761DD4">
        <w:rPr>
          <w:rFonts w:ascii="Times New Roman" w:hAnsi="Times New Roman" w:cs="Times New Roman"/>
          <w:b/>
          <w:bCs/>
          <w:sz w:val="24"/>
          <w:szCs w:val="24"/>
        </w:rPr>
        <w:t>non vi è alcuna specifica previsione che imponga espressamente, sic et simpliciter, l’esclusione dell’operatore economico, affittuario di azienda e/o ramo d’azienda, allorché l’impresa concedente/affittante sia stata medio tempore assoggettata ad una procedura concorsuale</w:t>
      </w:r>
      <w:r w:rsidRPr="00101B3F">
        <w:rPr>
          <w:rFonts w:ascii="Times New Roman" w:hAnsi="Times New Roman" w:cs="Times New Roman"/>
          <w:sz w:val="24"/>
          <w:szCs w:val="24"/>
        </w:rPr>
        <w:t xml:space="preserve">: </w:t>
      </w:r>
      <w:r w:rsidRPr="00761DD4">
        <w:rPr>
          <w:rFonts w:ascii="Times New Roman" w:hAnsi="Times New Roman" w:cs="Times New Roman"/>
          <w:b/>
          <w:bCs/>
          <w:sz w:val="24"/>
          <w:szCs w:val="24"/>
        </w:rPr>
        <w:t xml:space="preserve">se è vero che l’art. 94, co. 5, lett. d) del d. lgs. n. 36/2023 prevede, quale ipotesi di esclusione automatica dalla gara, la sottoposizione </w:t>
      </w:r>
      <w:r w:rsidRPr="00761DD4">
        <w:rPr>
          <w:rFonts w:ascii="Times New Roman" w:hAnsi="Times New Roman" w:cs="Times New Roman"/>
          <w:b/>
          <w:bCs/>
          <w:sz w:val="24"/>
          <w:szCs w:val="24"/>
        </w:rPr>
        <w:lastRenderedPageBreak/>
        <w:t>(tra l’altro) alla procedura di liquidazione giudiziale, è parimenti incontestabile che tale disposizione si riferisce al solo “operatore economico”, così circoscrivendo in capo al soggetto che prende parte alla procedura di appalto l’ambito di operatività della causa di esclusione di cui trattasi.</w:t>
      </w:r>
    </w:p>
    <w:p w14:paraId="4B37E82A" w14:textId="77777777"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Tale interpretazione “restrittiva” trova conforto anche nel </w:t>
      </w:r>
      <w:r w:rsidRPr="00761DD4">
        <w:rPr>
          <w:rFonts w:ascii="Times New Roman" w:hAnsi="Times New Roman" w:cs="Times New Roman"/>
          <w:b/>
          <w:bCs/>
          <w:sz w:val="24"/>
          <w:szCs w:val="24"/>
        </w:rPr>
        <w:t>principio di tassatività delle clausole di esclusione</w:t>
      </w:r>
      <w:r w:rsidRPr="00101B3F">
        <w:rPr>
          <w:rFonts w:ascii="Times New Roman" w:hAnsi="Times New Roman" w:cs="Times New Roman"/>
          <w:sz w:val="24"/>
          <w:szCs w:val="24"/>
        </w:rPr>
        <w:t>, ora dettato dall’art. 10 del vigente Codice dei contratti pubblici, da leggersi in combinato disposto con i più generali principi - di derivazione comunitaria - di concorrenza e massima partecipazione (anch’essi codificati ed espressamente richiamati nel Libro I del Codice).</w:t>
      </w:r>
    </w:p>
    <w:p w14:paraId="37903428" w14:textId="77777777" w:rsidR="00101B3F" w:rsidRPr="00761DD4" w:rsidRDefault="00101B3F" w:rsidP="00101B3F">
      <w:pPr>
        <w:spacing w:after="0"/>
        <w:jc w:val="both"/>
        <w:rPr>
          <w:rFonts w:ascii="Times New Roman" w:hAnsi="Times New Roman" w:cs="Times New Roman"/>
          <w:b/>
          <w:bCs/>
          <w:sz w:val="24"/>
          <w:szCs w:val="24"/>
        </w:rPr>
      </w:pPr>
      <w:r w:rsidRPr="00101B3F">
        <w:rPr>
          <w:rFonts w:ascii="Times New Roman" w:hAnsi="Times New Roman" w:cs="Times New Roman"/>
          <w:sz w:val="24"/>
          <w:szCs w:val="24"/>
        </w:rPr>
        <w:t xml:space="preserve">Sicché nessun dato normativo induce a ritenere che, </w:t>
      </w:r>
      <w:r w:rsidRPr="00761DD4">
        <w:rPr>
          <w:rFonts w:ascii="Times New Roman" w:hAnsi="Times New Roman" w:cs="Times New Roman"/>
          <w:b/>
          <w:bCs/>
          <w:sz w:val="24"/>
          <w:szCs w:val="24"/>
        </w:rPr>
        <w:t>di per sé, il fallimento (ovvero la liquidazione giudiziaria) dell’impresa concedente l’azienda/ramo d’azienda si rifletta, per così dire “per contagio”, in capo all’affittuario.</w:t>
      </w:r>
    </w:p>
    <w:p w14:paraId="1FE836F4" w14:textId="77777777" w:rsidR="00101B3F" w:rsidRPr="00101B3F" w:rsidRDefault="00101B3F" w:rsidP="00101B3F">
      <w:pPr>
        <w:spacing w:after="0"/>
        <w:jc w:val="both"/>
        <w:rPr>
          <w:rFonts w:ascii="Times New Roman" w:hAnsi="Times New Roman" w:cs="Times New Roman"/>
          <w:sz w:val="24"/>
          <w:szCs w:val="24"/>
        </w:rPr>
      </w:pPr>
      <w:r w:rsidRPr="00761DD4">
        <w:rPr>
          <w:rFonts w:ascii="Times New Roman" w:hAnsi="Times New Roman" w:cs="Times New Roman"/>
          <w:b/>
          <w:bCs/>
          <w:sz w:val="24"/>
          <w:szCs w:val="24"/>
        </w:rPr>
        <w:t>Al contrario</w:t>
      </w:r>
      <w:r w:rsidRPr="00101B3F">
        <w:rPr>
          <w:rFonts w:ascii="Times New Roman" w:hAnsi="Times New Roman" w:cs="Times New Roman"/>
          <w:sz w:val="24"/>
          <w:szCs w:val="24"/>
        </w:rPr>
        <w:t>, secondo la giurisprudenza più recente, tale interpretazione risulta sconfessata &lt;&lt;dalla disciplina in materia di procedure concorsuali attualmente contenuta nel d. lgs. n. 14/2019, e in particolare dall’art. 184, co. 1, secondo cui “</w:t>
      </w:r>
      <w:r w:rsidRPr="00761DD4">
        <w:rPr>
          <w:rFonts w:ascii="Times New Roman" w:hAnsi="Times New Roman" w:cs="Times New Roman"/>
          <w:b/>
          <w:bCs/>
          <w:sz w:val="24"/>
          <w:szCs w:val="24"/>
        </w:rPr>
        <w:t>L'apertura della liquidazione giudiziale nei confronti del concedente non scioglie il contratto di affitto d'azienda, ma il curatore, previa autorizzazione del comitato dei creditori, può recedere entro sessanta giorni</w:t>
      </w:r>
      <w:r w:rsidRPr="00101B3F">
        <w:rPr>
          <w:rFonts w:ascii="Times New Roman" w:hAnsi="Times New Roman" w:cs="Times New Roman"/>
          <w:sz w:val="24"/>
          <w:szCs w:val="24"/>
        </w:rPr>
        <w:t xml:space="preserve"> […]”. Detta norma accorda un termine massimo entro il quale l’organo della procedura può esercitare la facoltà di recesso (trattasi di una sorta di “ius </w:t>
      </w:r>
      <w:proofErr w:type="spellStart"/>
      <w:r w:rsidRPr="00101B3F">
        <w:rPr>
          <w:rFonts w:ascii="Times New Roman" w:hAnsi="Times New Roman" w:cs="Times New Roman"/>
          <w:sz w:val="24"/>
          <w:szCs w:val="24"/>
        </w:rPr>
        <w:t>poenitendi</w:t>
      </w:r>
      <w:proofErr w:type="spellEnd"/>
      <w:r w:rsidRPr="00101B3F">
        <w:rPr>
          <w:rFonts w:ascii="Times New Roman" w:hAnsi="Times New Roman" w:cs="Times New Roman"/>
          <w:sz w:val="24"/>
          <w:szCs w:val="24"/>
        </w:rPr>
        <w:t>”), decorso il quale il contratto conserva (si potrebbe dire “consolida”) i propri effetti: la ratio di fondo è garantire la conservazione dei valori imprenditoriali laddove essi siano inseriti in altro contesto e gestiti da altro soggetto ai fini di un loro proficuo impiego produttivo, e ciò anche nell’interesse della massa dei creditori del soggetto insolvente.</w:t>
      </w:r>
    </w:p>
    <w:p w14:paraId="14FCF687" w14:textId="77777777"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In un’ottica sistematica, e “calando” tale previsione nel contesto di una procedura di evidenza pubblica che veda la partecipazione dell’affittuario dell’azienda, è da privilegiarsi un’interpretazione che </w:t>
      </w:r>
      <w:r w:rsidRPr="00761DD4">
        <w:rPr>
          <w:rFonts w:ascii="Times New Roman" w:hAnsi="Times New Roman" w:cs="Times New Roman"/>
          <w:b/>
          <w:bCs/>
          <w:sz w:val="24"/>
          <w:szCs w:val="24"/>
        </w:rPr>
        <w:t>neghi il verificarsi, in capo al medesimo, di effetti “escludenti” di tipo automatico, sub specie di mancanza ab origine o intervenuta perdita dei requisiti</w:t>
      </w:r>
      <w:r w:rsidRPr="00101B3F">
        <w:rPr>
          <w:rFonts w:ascii="Times New Roman" w:hAnsi="Times New Roman" w:cs="Times New Roman"/>
          <w:sz w:val="24"/>
          <w:szCs w:val="24"/>
        </w:rPr>
        <w:t xml:space="preserve"> di partecipazione alla gara, altrimenti risultando vanificato l’obiettivo di fondo che la disposizione persegue.</w:t>
      </w:r>
    </w:p>
    <w:p w14:paraId="2197A59E" w14:textId="77777777"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Peraltro, </w:t>
      </w:r>
      <w:r w:rsidRPr="00761DD4">
        <w:rPr>
          <w:rFonts w:ascii="Times New Roman" w:hAnsi="Times New Roman" w:cs="Times New Roman"/>
          <w:b/>
          <w:bCs/>
          <w:sz w:val="24"/>
          <w:szCs w:val="24"/>
        </w:rPr>
        <w:t>la censura veicolata con l’odierno ricorso risulta incentrata genericamente sulla mera circostanza rappresentata dalla sottoposizione dell’affittante CR Appalti a liquidazione giudiziale</w:t>
      </w:r>
      <w:r w:rsidRPr="00101B3F">
        <w:rPr>
          <w:rFonts w:ascii="Times New Roman" w:hAnsi="Times New Roman" w:cs="Times New Roman"/>
          <w:sz w:val="24"/>
          <w:szCs w:val="24"/>
        </w:rPr>
        <w:t xml:space="preserve">, che appunto – secondo quanto paventa il ricorrente – opererebbe di per sé, in via di automatismo, </w:t>
      </w:r>
      <w:r w:rsidRPr="00761DD4">
        <w:rPr>
          <w:rFonts w:ascii="Times New Roman" w:hAnsi="Times New Roman" w:cs="Times New Roman"/>
          <w:b/>
          <w:bCs/>
          <w:sz w:val="24"/>
          <w:szCs w:val="24"/>
        </w:rPr>
        <w:t>e non già su un (già avvenuto o potenziale) scioglimento del rapporto contrattuale in essere con tale società, nell’esercizio della facoltà di recesso riconosciuta alla curatela, e sugli effetti che tale evento produrrebbe, a cascata, in capo all’operatore economico partecipante</w:t>
      </w:r>
      <w:r w:rsidRPr="00101B3F">
        <w:rPr>
          <w:rFonts w:ascii="Times New Roman" w:hAnsi="Times New Roman" w:cs="Times New Roman"/>
          <w:sz w:val="24"/>
          <w:szCs w:val="24"/>
        </w:rPr>
        <w:t xml:space="preserve"> ad una procedura di evidenza pubblica: avuto riguardo a questo distinto profilo, peraltro, è incontestato che, </w:t>
      </w:r>
      <w:r w:rsidRPr="00761DD4">
        <w:rPr>
          <w:rFonts w:ascii="Times New Roman" w:hAnsi="Times New Roman" w:cs="Times New Roman"/>
          <w:b/>
          <w:bCs/>
          <w:sz w:val="24"/>
          <w:szCs w:val="24"/>
        </w:rPr>
        <w:t xml:space="preserve">nel caso di specie, il curatore non ha optato per il recesso, sicché non si è mai verificata (né peraltro è stata mai dedotta) alcuna cesura nella disponibilità giuridica e materiale, in capo al controinteressato Consorzio Stabile </w:t>
      </w:r>
      <w:proofErr w:type="spellStart"/>
      <w:r w:rsidRPr="00761DD4">
        <w:rPr>
          <w:rFonts w:ascii="Times New Roman" w:hAnsi="Times New Roman" w:cs="Times New Roman"/>
          <w:b/>
          <w:bCs/>
          <w:sz w:val="24"/>
          <w:szCs w:val="24"/>
        </w:rPr>
        <w:t>Eternity</w:t>
      </w:r>
      <w:proofErr w:type="spellEnd"/>
      <w:r w:rsidRPr="00101B3F">
        <w:rPr>
          <w:rFonts w:ascii="Times New Roman" w:hAnsi="Times New Roman" w:cs="Times New Roman"/>
          <w:sz w:val="24"/>
          <w:szCs w:val="24"/>
        </w:rPr>
        <w:t>, del ramo di azienda in affitto (di contro, con il deposito documentale effettuato a ridosso dell’udienza di discussione del ricorso, quest’ultimo ha comprovato il suo definito subentro all’affittante nella titolarità del ramo d’azienda, quale aggiudicatario della procedura di vendita coattiva)&gt;&gt; (cfr. TAR Lazio, n. 15416/2024).</w:t>
      </w:r>
    </w:p>
    <w:p w14:paraId="4FD9D547" w14:textId="77777777" w:rsidR="00101B3F" w:rsidRPr="00101B3F" w:rsidRDefault="00101B3F" w:rsidP="00101B3F">
      <w:pPr>
        <w:spacing w:after="0"/>
        <w:jc w:val="both"/>
        <w:rPr>
          <w:rFonts w:ascii="Times New Roman" w:hAnsi="Times New Roman" w:cs="Times New Roman"/>
          <w:sz w:val="24"/>
          <w:szCs w:val="24"/>
        </w:rPr>
      </w:pPr>
      <w:r w:rsidRPr="00761DD4">
        <w:rPr>
          <w:rFonts w:ascii="Times New Roman" w:hAnsi="Times New Roman" w:cs="Times New Roman"/>
          <w:b/>
          <w:bCs/>
          <w:sz w:val="24"/>
          <w:szCs w:val="24"/>
        </w:rPr>
        <w:t>Né l</w:t>
      </w:r>
      <w:r w:rsidRPr="00101B3F">
        <w:rPr>
          <w:rFonts w:ascii="Times New Roman" w:hAnsi="Times New Roman" w:cs="Times New Roman"/>
          <w:sz w:val="24"/>
          <w:szCs w:val="24"/>
        </w:rPr>
        <w:t>a mancanza di una disposizione ad hoc che contempli espressamente tale effetto escludente potrebbe essere colmata dando applicazione al principio di ordine generale compendiato nel brocardo “</w:t>
      </w:r>
      <w:proofErr w:type="spellStart"/>
      <w:r w:rsidRPr="00761DD4">
        <w:rPr>
          <w:rFonts w:ascii="Times New Roman" w:hAnsi="Times New Roman" w:cs="Times New Roman"/>
          <w:b/>
          <w:bCs/>
          <w:i/>
          <w:iCs/>
          <w:sz w:val="24"/>
          <w:szCs w:val="24"/>
        </w:rPr>
        <w:t>ubi</w:t>
      </w:r>
      <w:proofErr w:type="spellEnd"/>
      <w:r w:rsidRPr="00761DD4">
        <w:rPr>
          <w:rFonts w:ascii="Times New Roman" w:hAnsi="Times New Roman" w:cs="Times New Roman"/>
          <w:b/>
          <w:bCs/>
          <w:i/>
          <w:iCs/>
          <w:sz w:val="24"/>
          <w:szCs w:val="24"/>
        </w:rPr>
        <w:t xml:space="preserve"> commoda </w:t>
      </w:r>
      <w:proofErr w:type="spellStart"/>
      <w:r w:rsidRPr="00761DD4">
        <w:rPr>
          <w:rFonts w:ascii="Times New Roman" w:hAnsi="Times New Roman" w:cs="Times New Roman"/>
          <w:b/>
          <w:bCs/>
          <w:i/>
          <w:iCs/>
          <w:sz w:val="24"/>
          <w:szCs w:val="24"/>
        </w:rPr>
        <w:t>ibi</w:t>
      </w:r>
      <w:proofErr w:type="spellEnd"/>
      <w:r w:rsidRPr="00761DD4">
        <w:rPr>
          <w:rFonts w:ascii="Times New Roman" w:hAnsi="Times New Roman" w:cs="Times New Roman"/>
          <w:b/>
          <w:bCs/>
          <w:i/>
          <w:iCs/>
          <w:sz w:val="24"/>
          <w:szCs w:val="24"/>
        </w:rPr>
        <w:t xml:space="preserve"> </w:t>
      </w:r>
      <w:proofErr w:type="spellStart"/>
      <w:r w:rsidRPr="00761DD4">
        <w:rPr>
          <w:rFonts w:ascii="Times New Roman" w:hAnsi="Times New Roman" w:cs="Times New Roman"/>
          <w:b/>
          <w:bCs/>
          <w:i/>
          <w:iCs/>
          <w:sz w:val="24"/>
          <w:szCs w:val="24"/>
        </w:rPr>
        <w:t>incommoda</w:t>
      </w:r>
      <w:proofErr w:type="spellEnd"/>
      <w:r w:rsidRPr="00761DD4">
        <w:rPr>
          <w:rFonts w:ascii="Times New Roman" w:hAnsi="Times New Roman" w:cs="Times New Roman"/>
          <w:b/>
          <w:bCs/>
          <w:sz w:val="24"/>
          <w:szCs w:val="24"/>
        </w:rPr>
        <w:t>”,</w:t>
      </w:r>
      <w:r w:rsidRPr="00101B3F">
        <w:rPr>
          <w:rFonts w:ascii="Times New Roman" w:hAnsi="Times New Roman" w:cs="Times New Roman"/>
          <w:sz w:val="24"/>
          <w:szCs w:val="24"/>
        </w:rPr>
        <w:t xml:space="preserve"> come articolato e sviluppato dal nutrito indirizzo giurisprudenziale, evocato dalla ricorrente nei propri scritti difensivi, che si è occupato della fattispecie della cessione di azienda, con argomentazioni considerate valide anche per l’ipotesi (sostanzialmente affine) di affitto di essa o di un suo ramo (cfr. segnatamente Ad. </w:t>
      </w:r>
      <w:proofErr w:type="spellStart"/>
      <w:r w:rsidRPr="00101B3F">
        <w:rPr>
          <w:rFonts w:ascii="Times New Roman" w:hAnsi="Times New Roman" w:cs="Times New Roman"/>
          <w:sz w:val="24"/>
          <w:szCs w:val="24"/>
        </w:rPr>
        <w:t>Plen</w:t>
      </w:r>
      <w:proofErr w:type="spellEnd"/>
      <w:r w:rsidRPr="00101B3F">
        <w:rPr>
          <w:rFonts w:ascii="Times New Roman" w:hAnsi="Times New Roman" w:cs="Times New Roman"/>
          <w:sz w:val="24"/>
          <w:szCs w:val="24"/>
        </w:rPr>
        <w:t>. n. 10/2012 e giurisprudenza successiva, tra cui in particolare il precedente del Consiglio di Stato, Sez. V, 7 ottobre 2021, n. 6706).</w:t>
      </w:r>
    </w:p>
    <w:p w14:paraId="5D17AEF2" w14:textId="77777777" w:rsidR="00101B3F" w:rsidRPr="00761DD4" w:rsidRDefault="00101B3F" w:rsidP="00101B3F">
      <w:pPr>
        <w:spacing w:after="0"/>
        <w:jc w:val="both"/>
        <w:rPr>
          <w:rFonts w:ascii="Times New Roman" w:hAnsi="Times New Roman" w:cs="Times New Roman"/>
          <w:b/>
          <w:bCs/>
          <w:sz w:val="24"/>
          <w:szCs w:val="24"/>
        </w:rPr>
      </w:pPr>
      <w:r w:rsidRPr="00101B3F">
        <w:rPr>
          <w:rFonts w:ascii="Times New Roman" w:hAnsi="Times New Roman" w:cs="Times New Roman"/>
          <w:sz w:val="24"/>
          <w:szCs w:val="24"/>
        </w:rPr>
        <w:t xml:space="preserve">Nella fattispecie </w:t>
      </w:r>
      <w:r w:rsidRPr="00761DD4">
        <w:rPr>
          <w:rFonts w:ascii="Times New Roman" w:hAnsi="Times New Roman" w:cs="Times New Roman"/>
          <w:b/>
          <w:bCs/>
          <w:sz w:val="24"/>
          <w:szCs w:val="24"/>
        </w:rPr>
        <w:t xml:space="preserve">sono trascorsi tre anni dalla cessione del ramo di azienda, </w:t>
      </w:r>
      <w:proofErr w:type="spellStart"/>
      <w:r w:rsidRPr="00761DD4">
        <w:rPr>
          <w:rFonts w:ascii="Times New Roman" w:hAnsi="Times New Roman" w:cs="Times New Roman"/>
          <w:b/>
          <w:bCs/>
          <w:sz w:val="24"/>
          <w:szCs w:val="24"/>
        </w:rPr>
        <w:t>sicchè</w:t>
      </w:r>
      <w:proofErr w:type="spellEnd"/>
      <w:r w:rsidRPr="00761DD4">
        <w:rPr>
          <w:rFonts w:ascii="Times New Roman" w:hAnsi="Times New Roman" w:cs="Times New Roman"/>
          <w:b/>
          <w:bCs/>
          <w:sz w:val="24"/>
          <w:szCs w:val="24"/>
        </w:rPr>
        <w:t xml:space="preserve"> ipotizzare che le vicende della cedente continuino a riflettersi sulla cessionaria ovvero su eventuali terzi </w:t>
      </w:r>
      <w:r w:rsidRPr="00761DD4">
        <w:rPr>
          <w:rFonts w:ascii="Times New Roman" w:hAnsi="Times New Roman" w:cs="Times New Roman"/>
          <w:b/>
          <w:bCs/>
          <w:sz w:val="24"/>
          <w:szCs w:val="24"/>
        </w:rPr>
        <w:lastRenderedPageBreak/>
        <w:t>ulteriori cessionari senza limiti temporali, significa porre a carico delle stazioni appaltanti un onere di controllo sproporzionato.</w:t>
      </w:r>
    </w:p>
    <w:p w14:paraId="2F003AE3" w14:textId="510A005F"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III.3. </w:t>
      </w:r>
      <w:r w:rsidRPr="00761DD4">
        <w:rPr>
          <w:rFonts w:ascii="Times New Roman" w:hAnsi="Times New Roman" w:cs="Times New Roman"/>
          <w:b/>
          <w:bCs/>
          <w:sz w:val="24"/>
          <w:szCs w:val="24"/>
        </w:rPr>
        <w:t>Peraltro</w:t>
      </w:r>
      <w:r w:rsidRPr="00101B3F">
        <w:rPr>
          <w:rFonts w:ascii="Times New Roman" w:hAnsi="Times New Roman" w:cs="Times New Roman"/>
          <w:sz w:val="24"/>
          <w:szCs w:val="24"/>
        </w:rPr>
        <w:t xml:space="preserve"> nel caso di specie occorre considerare che in data 07/05/2024 - </w:t>
      </w:r>
      <w:r w:rsidRPr="00761DD4">
        <w:rPr>
          <w:rFonts w:ascii="Times New Roman" w:hAnsi="Times New Roman" w:cs="Times New Roman"/>
          <w:b/>
          <w:bCs/>
          <w:sz w:val="24"/>
          <w:szCs w:val="24"/>
        </w:rPr>
        <w:t>mandataria del R.T.I</w:t>
      </w:r>
      <w:r w:rsidRPr="00101B3F">
        <w:rPr>
          <w:rFonts w:ascii="Times New Roman" w:hAnsi="Times New Roman" w:cs="Times New Roman"/>
          <w:sz w:val="24"/>
          <w:szCs w:val="24"/>
        </w:rPr>
        <w:t xml:space="preserve">. – </w:t>
      </w:r>
      <w:r w:rsidRPr="00761DD4">
        <w:rPr>
          <w:rFonts w:ascii="Times New Roman" w:hAnsi="Times New Roman" w:cs="Times New Roman"/>
          <w:b/>
          <w:bCs/>
          <w:sz w:val="24"/>
          <w:szCs w:val="24"/>
        </w:rPr>
        <w:t>ha comunicato il recesso alla propria partecipazione al raggruppamento temporaneo di impresa</w:t>
      </w:r>
      <w:r w:rsidRPr="00101B3F">
        <w:rPr>
          <w:rFonts w:ascii="Times New Roman" w:hAnsi="Times New Roman" w:cs="Times New Roman"/>
          <w:sz w:val="24"/>
          <w:szCs w:val="24"/>
        </w:rPr>
        <w:t xml:space="preserve"> con conseguente prosecuzione delle attività da parte della sola </w:t>
      </w:r>
      <w:proofErr w:type="spellStart"/>
      <w:r w:rsidRPr="00101B3F">
        <w:rPr>
          <w:rFonts w:ascii="Times New Roman" w:hAnsi="Times New Roman" w:cs="Times New Roman"/>
          <w:sz w:val="24"/>
          <w:szCs w:val="24"/>
        </w:rPr>
        <w:t>Soc</w:t>
      </w:r>
      <w:proofErr w:type="spellEnd"/>
      <w:r w:rsidRPr="00101B3F">
        <w:rPr>
          <w:rFonts w:ascii="Times New Roman" w:hAnsi="Times New Roman" w:cs="Times New Roman"/>
          <w:sz w:val="24"/>
          <w:szCs w:val="24"/>
        </w:rPr>
        <w:t xml:space="preserve">. SI.ECO </w:t>
      </w:r>
      <w:proofErr w:type="spellStart"/>
      <w:r w:rsidRPr="00101B3F">
        <w:rPr>
          <w:rFonts w:ascii="Times New Roman" w:hAnsi="Times New Roman" w:cs="Times New Roman"/>
          <w:sz w:val="24"/>
          <w:szCs w:val="24"/>
        </w:rPr>
        <w:t>SpA</w:t>
      </w:r>
      <w:proofErr w:type="spellEnd"/>
      <w:r w:rsidRPr="00101B3F">
        <w:rPr>
          <w:rFonts w:ascii="Times New Roman" w:hAnsi="Times New Roman" w:cs="Times New Roman"/>
          <w:sz w:val="24"/>
          <w:szCs w:val="24"/>
        </w:rPr>
        <w:t xml:space="preserve"> essendo la stessa "autonomamente" in possesso dei requisiti di qualificazione necessari alla partecipazione della gara come richiesti dal bando e ai sensi dell'art. 68 comma 17 del d.lgs. n.36/2023 che recita "è ammesso il recesso di una o più imprese raggruppate, sempre che le imprese rimanenti abbiano i requisiti di qualificazione adeguate ai lavori o servizi o forniture ancora da eseguire; il recesso è ammesso anche se il raggruppamento si riduce a un unico soggetto”.</w:t>
      </w:r>
    </w:p>
    <w:p w14:paraId="4366E7CF" w14:textId="77777777"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Ciò considerato, rileva la disposizione di cui all’art. 96, co. 2, del Codice dei contratti pubblici a mente della quale “L’operatore economico che si trovi in una delle situazioni di cui all’articolo 94, a eccezione del comma 6, e all’articolo 95, a eccezione del comma 2, non è escluso se si sono verificate le condizioni di cui al comma 6 del presente articolo e ha adempiuto agli oneri di cui ai commi 3 o 4 del presente articolo”.</w:t>
      </w:r>
    </w:p>
    <w:p w14:paraId="389188C6" w14:textId="77777777" w:rsidR="00101B3F" w:rsidRP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Infine il comma 6 del medesimo articolo indica le condizioni soddisfatte le quali è possibile “sanare” l’eventuale carenza dei requisiti sopravvenuta in corso di gara: “Un operatore economico che si trovi in una delle situazioni di cui all’articolo 94, a eccezione del comma 6, e all’articolo 95, a eccezione del comma 2, può fornire prova del fatto che le misure da lui adottate sono sufficienti a dimostrare la sua affidabilità. Se tali misure sono ritenute sufficienti e tempestivamente adottate, esso non è escluso dalla procedura d'appalto. A tal fine,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Le misure adottate dagli operatori economici sono valutate considerando la gravità e le particolari circostanze del reato o dell'illecito, nonché la tempestività della loro assunzione. Se la stazione appaltante ritiene che le misure siano intempestive o insufficienti, ne comunica le ragioni all'operatore economico”.</w:t>
      </w:r>
    </w:p>
    <w:p w14:paraId="74205E85" w14:textId="1BFDFC24" w:rsidR="00101B3F" w:rsidRDefault="00101B3F" w:rsidP="00101B3F">
      <w:pPr>
        <w:spacing w:after="0"/>
        <w:jc w:val="both"/>
        <w:rPr>
          <w:rFonts w:ascii="Times New Roman" w:hAnsi="Times New Roman" w:cs="Times New Roman"/>
          <w:sz w:val="24"/>
          <w:szCs w:val="24"/>
        </w:rPr>
      </w:pPr>
      <w:r w:rsidRPr="00101B3F">
        <w:rPr>
          <w:rFonts w:ascii="Times New Roman" w:hAnsi="Times New Roman" w:cs="Times New Roman"/>
          <w:sz w:val="24"/>
          <w:szCs w:val="24"/>
        </w:rPr>
        <w:t xml:space="preserve">Dal compendio normativo riportato il Collegio desume che, anche a prescindere dalle precedenti considerazioni in ordine alla rilevanza in generale dell’apertura di una procedura di liquidazione nei confronti della società dante causa del ramo di azienda di cui l’operatore economico partecipante sia cessionario, il recesso della Igiene Urbana </w:t>
      </w:r>
      <w:proofErr w:type="spellStart"/>
      <w:r w:rsidRPr="00101B3F">
        <w:rPr>
          <w:rFonts w:ascii="Times New Roman" w:hAnsi="Times New Roman" w:cs="Times New Roman"/>
          <w:sz w:val="24"/>
          <w:szCs w:val="24"/>
        </w:rPr>
        <w:t>Evolution</w:t>
      </w:r>
      <w:proofErr w:type="spellEnd"/>
      <w:r w:rsidRPr="00101B3F">
        <w:rPr>
          <w:rFonts w:ascii="Times New Roman" w:hAnsi="Times New Roman" w:cs="Times New Roman"/>
          <w:sz w:val="24"/>
          <w:szCs w:val="24"/>
        </w:rPr>
        <w:t xml:space="preserve"> s.r.l. dal raggruppamento partecipante integri proprio una di quelle misure che ai sensi del richiamato art. 96 co. 6, del codice consente di dimostrare l’affidabilità dell’operatore. Ed infatti, la ratio della disposizione, in linea con i principi del risultato e dell’efficienza che permeano il nuovo codice dei contratti, è quella di recuperare i partecipanti che nella sostanza siano affidabili, accentuando sul punto la discrezionalità delle stazioni appaltanti a cui è rimesso l’onere di valutare in concreto, a determinate condizioni stabilite dal medesimo codice, se la rilevata carenza di alcune tipologie di requisiti intacchi la serietà degli operatori partecipanti.</w:t>
      </w:r>
    </w:p>
    <w:p w14:paraId="3B8CB262" w14:textId="50DF628E" w:rsidR="00EC22FB" w:rsidRDefault="00EC22FB" w:rsidP="00101B3F">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w:t>
      </w:r>
    </w:p>
    <w:p w14:paraId="12717BE4" w14:textId="77777777" w:rsidR="00EC22FB" w:rsidRDefault="00EC22FB" w:rsidP="00101B3F">
      <w:pPr>
        <w:spacing w:after="0"/>
        <w:jc w:val="both"/>
        <w:rPr>
          <w:rFonts w:ascii="Times New Roman" w:hAnsi="Times New Roman" w:cs="Times New Roman"/>
          <w:sz w:val="24"/>
          <w:szCs w:val="24"/>
        </w:rPr>
      </w:pPr>
    </w:p>
    <w:p w14:paraId="48353260" w14:textId="4CC6C868" w:rsidR="00B039CD" w:rsidRPr="00B039CD" w:rsidRDefault="00B039CD" w:rsidP="00101B3F">
      <w:pPr>
        <w:spacing w:after="0"/>
        <w:jc w:val="both"/>
        <w:rPr>
          <w:rFonts w:ascii="Times New Roman" w:hAnsi="Times New Roman" w:cs="Times New Roman"/>
          <w:b/>
          <w:bCs/>
          <w:sz w:val="24"/>
          <w:szCs w:val="24"/>
        </w:rPr>
      </w:pPr>
      <w:r w:rsidRPr="00B039CD">
        <w:rPr>
          <w:rFonts w:ascii="Times New Roman" w:hAnsi="Times New Roman" w:cs="Times New Roman"/>
          <w:b/>
          <w:bCs/>
          <w:sz w:val="24"/>
          <w:szCs w:val="24"/>
        </w:rPr>
        <w:t xml:space="preserve">Parere MIT, </w:t>
      </w:r>
      <w:r>
        <w:rPr>
          <w:rFonts w:ascii="Times New Roman" w:hAnsi="Times New Roman" w:cs="Times New Roman"/>
          <w:b/>
          <w:bCs/>
          <w:sz w:val="24"/>
          <w:szCs w:val="24"/>
        </w:rPr>
        <w:t>30.01.2025, n. 3104</w:t>
      </w:r>
    </w:p>
    <w:p w14:paraId="40BC5711" w14:textId="4DEF570F" w:rsidR="00B039CD" w:rsidRPr="00B039CD" w:rsidRDefault="00B039CD" w:rsidP="00101B3F">
      <w:pPr>
        <w:spacing w:after="0"/>
        <w:jc w:val="both"/>
        <w:rPr>
          <w:rFonts w:ascii="Times New Roman" w:hAnsi="Times New Roman" w:cs="Times New Roman"/>
          <w:b/>
          <w:bCs/>
          <w:i/>
          <w:iCs/>
          <w:sz w:val="24"/>
          <w:szCs w:val="24"/>
        </w:rPr>
      </w:pPr>
      <w:r w:rsidRPr="00B039CD">
        <w:rPr>
          <w:rFonts w:ascii="Times New Roman" w:hAnsi="Times New Roman" w:cs="Times New Roman"/>
          <w:b/>
          <w:bCs/>
          <w:i/>
          <w:iCs/>
          <w:sz w:val="24"/>
          <w:szCs w:val="24"/>
        </w:rPr>
        <w:t>Sulla verifica antimafia in caso di affidamento diretto</w:t>
      </w:r>
    </w:p>
    <w:p w14:paraId="42BAA223" w14:textId="6F343403" w:rsidR="00B039CD" w:rsidRDefault="00B039CD" w:rsidP="00101B3F">
      <w:pPr>
        <w:spacing w:after="0"/>
        <w:jc w:val="both"/>
        <w:rPr>
          <w:rFonts w:ascii="Times New Roman" w:hAnsi="Times New Roman" w:cs="Times New Roman"/>
          <w:sz w:val="24"/>
          <w:szCs w:val="24"/>
        </w:rPr>
      </w:pPr>
      <w:r w:rsidRPr="00B039CD">
        <w:rPr>
          <w:rFonts w:ascii="Times New Roman" w:hAnsi="Times New Roman" w:cs="Times New Roman"/>
          <w:sz w:val="24"/>
          <w:szCs w:val="24"/>
        </w:rPr>
        <w:t xml:space="preserve">Il </w:t>
      </w:r>
      <w:proofErr w:type="spellStart"/>
      <w:r w:rsidRPr="00B039CD">
        <w:rPr>
          <w:rFonts w:ascii="Times New Roman" w:hAnsi="Times New Roman" w:cs="Times New Roman"/>
          <w:sz w:val="24"/>
          <w:szCs w:val="24"/>
        </w:rPr>
        <w:t>D.Lgs.</w:t>
      </w:r>
      <w:proofErr w:type="spellEnd"/>
      <w:r w:rsidRPr="00B039CD">
        <w:rPr>
          <w:rFonts w:ascii="Times New Roman" w:hAnsi="Times New Roman" w:cs="Times New Roman"/>
          <w:sz w:val="24"/>
          <w:szCs w:val="24"/>
        </w:rPr>
        <w:t xml:space="preserve"> 159/2011 (codice antimafia) art. 83 comma 1 prevede che le stazioni appaltanti prima di stipulare contratti devono richiedere la documentazione antimafia. Il comma 3 alla lettera e) indica che per i contratti non superiori a 150.000 euro la documentazione antimafia non deve essere richiesta. Il </w:t>
      </w:r>
      <w:proofErr w:type="spellStart"/>
      <w:r w:rsidRPr="00B039CD">
        <w:rPr>
          <w:rFonts w:ascii="Times New Roman" w:hAnsi="Times New Roman" w:cs="Times New Roman"/>
          <w:sz w:val="24"/>
          <w:szCs w:val="24"/>
        </w:rPr>
        <w:t>D.Lgs.</w:t>
      </w:r>
      <w:proofErr w:type="spellEnd"/>
      <w:r w:rsidRPr="00B039CD">
        <w:rPr>
          <w:rFonts w:ascii="Times New Roman" w:hAnsi="Times New Roman" w:cs="Times New Roman"/>
          <w:sz w:val="24"/>
          <w:szCs w:val="24"/>
        </w:rPr>
        <w:t xml:space="preserve"> 36/2023 (codice degli appalti), successivo al decreto precedente, distingue solo tra affidamenti sotto i 40.000 (controlli a campione con regolamento) e sopra, "puntuale controllo di tutti i requisiti". </w:t>
      </w:r>
      <w:r w:rsidRPr="00B039CD">
        <w:rPr>
          <w:rFonts w:ascii="Times New Roman" w:hAnsi="Times New Roman" w:cs="Times New Roman"/>
          <w:b/>
          <w:bCs/>
          <w:sz w:val="24"/>
          <w:szCs w:val="24"/>
        </w:rPr>
        <w:t xml:space="preserve">Per la verifica dei requisiti per gli affidamenti tra 40.000 e 150.000 bisogna effettuare </w:t>
      </w:r>
      <w:r w:rsidRPr="00B039CD">
        <w:rPr>
          <w:rFonts w:ascii="Times New Roman" w:hAnsi="Times New Roman" w:cs="Times New Roman"/>
          <w:b/>
          <w:bCs/>
          <w:sz w:val="24"/>
          <w:szCs w:val="24"/>
        </w:rPr>
        <w:lastRenderedPageBreak/>
        <w:t>anche la verifica antimafia</w:t>
      </w:r>
      <w:r w:rsidRPr="00B039CD">
        <w:rPr>
          <w:rFonts w:ascii="Times New Roman" w:hAnsi="Times New Roman" w:cs="Times New Roman"/>
          <w:sz w:val="24"/>
          <w:szCs w:val="24"/>
        </w:rPr>
        <w:t xml:space="preserve">? </w:t>
      </w:r>
      <w:r w:rsidRPr="00B039CD">
        <w:rPr>
          <w:rFonts w:ascii="Times New Roman" w:hAnsi="Times New Roman" w:cs="Times New Roman"/>
          <w:b/>
          <w:bCs/>
          <w:sz w:val="24"/>
          <w:szCs w:val="24"/>
        </w:rPr>
        <w:t>Per la verifica dei requisiti per gli affidamenti da 0 a 40.000 nel campione bisogna effettuare anche la verifica antimafia</w:t>
      </w:r>
      <w:r w:rsidRPr="00B039CD">
        <w:rPr>
          <w:rFonts w:ascii="Times New Roman" w:hAnsi="Times New Roman" w:cs="Times New Roman"/>
          <w:sz w:val="24"/>
          <w:szCs w:val="24"/>
        </w:rPr>
        <w:t>?</w:t>
      </w:r>
    </w:p>
    <w:p w14:paraId="03493818" w14:textId="77777777" w:rsidR="00B039CD" w:rsidRDefault="00B039CD" w:rsidP="00101B3F">
      <w:pPr>
        <w:spacing w:after="0"/>
        <w:jc w:val="both"/>
        <w:rPr>
          <w:rFonts w:ascii="Times New Roman" w:hAnsi="Times New Roman" w:cs="Times New Roman"/>
          <w:sz w:val="24"/>
          <w:szCs w:val="24"/>
        </w:rPr>
      </w:pPr>
    </w:p>
    <w:p w14:paraId="443439D3" w14:textId="1EECE53E" w:rsidR="00B039CD" w:rsidRDefault="00B039CD" w:rsidP="00101B3F">
      <w:pPr>
        <w:spacing w:after="0"/>
        <w:jc w:val="both"/>
        <w:rPr>
          <w:rFonts w:ascii="Times New Roman" w:hAnsi="Times New Roman" w:cs="Times New Roman"/>
          <w:sz w:val="24"/>
          <w:szCs w:val="24"/>
        </w:rPr>
      </w:pPr>
      <w:r>
        <w:rPr>
          <w:rFonts w:ascii="Times New Roman" w:hAnsi="Times New Roman" w:cs="Times New Roman"/>
          <w:sz w:val="24"/>
          <w:szCs w:val="24"/>
        </w:rPr>
        <w:t xml:space="preserve">Risposta: </w:t>
      </w:r>
      <w:r w:rsidRPr="00B039CD">
        <w:rPr>
          <w:rFonts w:ascii="Times New Roman" w:hAnsi="Times New Roman" w:cs="Times New Roman"/>
          <w:sz w:val="24"/>
          <w:szCs w:val="24"/>
        </w:rPr>
        <w:t xml:space="preserve">Come disposto nel d. lgs n. 159/2011, la documentazione antimafia è costituita dalla comunicazione antimafia, dall’informazione antimafia e dalle white list delle imprese che operano nei </w:t>
      </w:r>
      <w:r w:rsidRPr="00B039CD">
        <w:rPr>
          <w:rFonts w:ascii="Times New Roman" w:hAnsi="Times New Roman" w:cs="Times New Roman"/>
          <w:b/>
          <w:bCs/>
          <w:sz w:val="24"/>
          <w:szCs w:val="24"/>
        </w:rPr>
        <w:t>settori</w:t>
      </w:r>
      <w:r w:rsidRPr="00B039CD">
        <w:rPr>
          <w:rFonts w:ascii="Times New Roman" w:hAnsi="Times New Roman" w:cs="Times New Roman"/>
          <w:sz w:val="24"/>
          <w:szCs w:val="24"/>
        </w:rPr>
        <w:t xml:space="preserve"> ritenuti per prassi particolarmente </w:t>
      </w:r>
      <w:r w:rsidRPr="00B039CD">
        <w:rPr>
          <w:rFonts w:ascii="Times New Roman" w:hAnsi="Times New Roman" w:cs="Times New Roman"/>
          <w:b/>
          <w:bCs/>
          <w:sz w:val="24"/>
          <w:szCs w:val="24"/>
        </w:rPr>
        <w:t xml:space="preserve">sensibili </w:t>
      </w:r>
      <w:r w:rsidRPr="00B039CD">
        <w:rPr>
          <w:rFonts w:ascii="Times New Roman" w:hAnsi="Times New Roman" w:cs="Times New Roman"/>
          <w:sz w:val="24"/>
          <w:szCs w:val="24"/>
        </w:rPr>
        <w:t xml:space="preserve">alla permeabilità mafiosa. </w:t>
      </w:r>
      <w:r w:rsidRPr="00B039CD">
        <w:rPr>
          <w:rFonts w:ascii="Times New Roman" w:hAnsi="Times New Roman" w:cs="Times New Roman"/>
          <w:b/>
          <w:bCs/>
          <w:sz w:val="24"/>
          <w:szCs w:val="24"/>
        </w:rPr>
        <w:t>Per tali imprese</w:t>
      </w:r>
      <w:r w:rsidRPr="00B039CD">
        <w:rPr>
          <w:rFonts w:ascii="Times New Roman" w:hAnsi="Times New Roman" w:cs="Times New Roman"/>
          <w:sz w:val="24"/>
          <w:szCs w:val="24"/>
        </w:rPr>
        <w:t xml:space="preserve">, che operano nei settori a rischio di infiltrazione mafiosa, </w:t>
      </w:r>
      <w:r w:rsidRPr="00B039CD">
        <w:rPr>
          <w:rFonts w:ascii="Times New Roman" w:hAnsi="Times New Roman" w:cs="Times New Roman"/>
          <w:b/>
          <w:bCs/>
          <w:sz w:val="24"/>
          <w:szCs w:val="24"/>
        </w:rPr>
        <w:t>la verifica antimafia non segue quindi la bipartizione comunicazione - informazioni di cui all’art. 84 del codice antimafia in relazione alle soglie di valore contrattuale indicate nell’art. 83 e nell’art. 91 dello stesso codice, ma è sempre obbligatoria e avviene mediante la consultazione della banca dati della documentazione antimafia</w:t>
      </w:r>
      <w:r w:rsidRPr="00B039CD">
        <w:rPr>
          <w:rFonts w:ascii="Times New Roman" w:hAnsi="Times New Roman" w:cs="Times New Roman"/>
          <w:sz w:val="24"/>
          <w:szCs w:val="24"/>
        </w:rPr>
        <w:t xml:space="preserve">. Ciò premesso, la risposta alle due domande è negativa a condizione che non vengano in considerazione i settori di cui al comma 52 dell’articolo 1 della legge n. 190 del 2012, relativo alle “attività imprenditoriali” maggiormente esposte a tentativo di infiltrazione mafiosa, le quali attività sono poi elencate al comma 53 della stessa legge 190. Diversamente, </w:t>
      </w:r>
      <w:r w:rsidRPr="00B039CD">
        <w:rPr>
          <w:rFonts w:ascii="Times New Roman" w:hAnsi="Times New Roman" w:cs="Times New Roman"/>
          <w:b/>
          <w:bCs/>
          <w:sz w:val="24"/>
          <w:szCs w:val="24"/>
        </w:rPr>
        <w:t>in caso in cui si tratti dei settori di cui all’art. 53 prima richiamati, la risposta invece è affermativa per entrambe le domande</w:t>
      </w:r>
      <w:r w:rsidRPr="00B039CD">
        <w:rPr>
          <w:rFonts w:ascii="Times New Roman" w:hAnsi="Times New Roman" w:cs="Times New Roman"/>
          <w:sz w:val="24"/>
          <w:szCs w:val="24"/>
        </w:rPr>
        <w:t>.</w:t>
      </w:r>
    </w:p>
    <w:p w14:paraId="2DD7F2B5" w14:textId="0DB4AF91" w:rsidR="00B039CD" w:rsidRDefault="00B039CD" w:rsidP="00101B3F">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
    <w:p w14:paraId="71C47CDE" w14:textId="54E5AC1F" w:rsidR="00B039CD" w:rsidRPr="003314AE" w:rsidRDefault="003314AE" w:rsidP="00101B3F">
      <w:pPr>
        <w:spacing w:after="0"/>
        <w:jc w:val="both"/>
        <w:rPr>
          <w:rFonts w:ascii="Times New Roman" w:hAnsi="Times New Roman" w:cs="Times New Roman"/>
          <w:b/>
          <w:bCs/>
          <w:sz w:val="24"/>
          <w:szCs w:val="24"/>
        </w:rPr>
      </w:pPr>
      <w:r w:rsidRPr="003314AE">
        <w:rPr>
          <w:rFonts w:ascii="Times New Roman" w:hAnsi="Times New Roman" w:cs="Times New Roman"/>
          <w:b/>
          <w:bCs/>
          <w:sz w:val="24"/>
          <w:szCs w:val="24"/>
        </w:rPr>
        <w:t xml:space="preserve">Parere </w:t>
      </w:r>
      <w:proofErr w:type="spellStart"/>
      <w:r w:rsidRPr="003314AE">
        <w:rPr>
          <w:rFonts w:ascii="Times New Roman" w:hAnsi="Times New Roman" w:cs="Times New Roman"/>
          <w:b/>
          <w:bCs/>
          <w:sz w:val="24"/>
          <w:szCs w:val="24"/>
        </w:rPr>
        <w:t>Mit</w:t>
      </w:r>
      <w:proofErr w:type="spellEnd"/>
      <w:r w:rsidRPr="003314AE">
        <w:rPr>
          <w:rFonts w:ascii="Times New Roman" w:hAnsi="Times New Roman" w:cs="Times New Roman"/>
          <w:b/>
          <w:bCs/>
          <w:sz w:val="24"/>
          <w:szCs w:val="24"/>
        </w:rPr>
        <w:t>, 26.09.2024, n. 2722</w:t>
      </w:r>
    </w:p>
    <w:p w14:paraId="3CB81D01" w14:textId="5D486C40" w:rsidR="00B039CD" w:rsidRPr="00B039CD" w:rsidRDefault="00B039CD" w:rsidP="00101B3F">
      <w:pPr>
        <w:spacing w:after="0"/>
        <w:jc w:val="both"/>
        <w:rPr>
          <w:rFonts w:ascii="Times New Roman" w:hAnsi="Times New Roman" w:cs="Times New Roman"/>
          <w:b/>
          <w:bCs/>
          <w:i/>
          <w:iCs/>
          <w:sz w:val="24"/>
          <w:szCs w:val="24"/>
        </w:rPr>
      </w:pPr>
      <w:r w:rsidRPr="00B039CD">
        <w:rPr>
          <w:rFonts w:ascii="Times New Roman" w:hAnsi="Times New Roman" w:cs="Times New Roman"/>
          <w:b/>
          <w:bCs/>
          <w:i/>
          <w:iCs/>
          <w:sz w:val="24"/>
          <w:szCs w:val="24"/>
        </w:rPr>
        <w:t>Sulla verifica dei carichi pendenti</w:t>
      </w:r>
    </w:p>
    <w:p w14:paraId="13FFF5B7" w14:textId="18931BD3" w:rsidR="00B039CD" w:rsidRDefault="00B039CD" w:rsidP="00101B3F">
      <w:pPr>
        <w:spacing w:after="0"/>
        <w:jc w:val="both"/>
        <w:rPr>
          <w:rFonts w:ascii="Times New Roman" w:hAnsi="Times New Roman" w:cs="Times New Roman"/>
          <w:sz w:val="24"/>
          <w:szCs w:val="24"/>
        </w:rPr>
      </w:pPr>
      <w:r w:rsidRPr="00B039CD">
        <w:rPr>
          <w:rFonts w:ascii="Times New Roman" w:hAnsi="Times New Roman" w:cs="Times New Roman"/>
          <w:sz w:val="24"/>
          <w:szCs w:val="24"/>
        </w:rPr>
        <w:t xml:space="preserve">Con il nuovo codice degli appalti pubblici (d.lgs. 36/2023) è stata espressamente introdotta la richiesta del certificato del casellario dei carichi pendenti ai sensi dell'articolo 95, comma 1, lett. e), dell'articolo </w:t>
      </w:r>
      <w:proofErr w:type="gramStart"/>
      <w:r w:rsidRPr="00B039CD">
        <w:rPr>
          <w:rFonts w:ascii="Times New Roman" w:hAnsi="Times New Roman" w:cs="Times New Roman"/>
          <w:sz w:val="24"/>
          <w:szCs w:val="24"/>
        </w:rPr>
        <w:t>98 ,</w:t>
      </w:r>
      <w:proofErr w:type="gramEnd"/>
      <w:r w:rsidRPr="00B039CD">
        <w:rPr>
          <w:rFonts w:ascii="Times New Roman" w:hAnsi="Times New Roman" w:cs="Times New Roman"/>
          <w:sz w:val="24"/>
          <w:szCs w:val="24"/>
        </w:rPr>
        <w:t xml:space="preserve"> comma 3, lett. g) ed h) del d.lgs. 36/2023 e dell'articolo 27 del DPR 14 novembre 2002, n. 313. A questo proposito si chiede quanto segue: La richiesta del certificato dei carichi pendenti </w:t>
      </w:r>
      <w:r w:rsidRPr="00B039CD">
        <w:rPr>
          <w:rFonts w:ascii="Times New Roman" w:hAnsi="Times New Roman" w:cs="Times New Roman"/>
          <w:b/>
          <w:bCs/>
          <w:sz w:val="24"/>
          <w:szCs w:val="24"/>
        </w:rPr>
        <w:t>va fatta sempre, oppure solo in caso di fondato dubbio</w:t>
      </w:r>
      <w:r w:rsidRPr="00B039CD">
        <w:rPr>
          <w:rFonts w:ascii="Times New Roman" w:hAnsi="Times New Roman" w:cs="Times New Roman"/>
          <w:sz w:val="24"/>
          <w:szCs w:val="24"/>
        </w:rPr>
        <w:t xml:space="preserve"> (per esempio: articoli di giornale, notizie sul web, segnalazioni, ecc..) e/</w:t>
      </w:r>
      <w:r w:rsidRPr="00B039CD">
        <w:rPr>
          <w:rFonts w:ascii="Times New Roman" w:hAnsi="Times New Roman" w:cs="Times New Roman"/>
          <w:b/>
          <w:bCs/>
          <w:sz w:val="24"/>
          <w:szCs w:val="24"/>
        </w:rPr>
        <w:t>o se indicato dall'operatore economico nel DGUE</w:t>
      </w:r>
      <w:r w:rsidRPr="00B039CD">
        <w:rPr>
          <w:rFonts w:ascii="Times New Roman" w:hAnsi="Times New Roman" w:cs="Times New Roman"/>
          <w:sz w:val="24"/>
          <w:szCs w:val="24"/>
        </w:rPr>
        <w:t>?</w:t>
      </w:r>
    </w:p>
    <w:p w14:paraId="5EEAA398" w14:textId="77777777" w:rsidR="00B039CD" w:rsidRDefault="00B039CD" w:rsidP="00101B3F">
      <w:pPr>
        <w:spacing w:after="0"/>
        <w:jc w:val="both"/>
        <w:rPr>
          <w:rFonts w:ascii="Times New Roman" w:hAnsi="Times New Roman" w:cs="Times New Roman"/>
          <w:sz w:val="24"/>
          <w:szCs w:val="24"/>
        </w:rPr>
      </w:pPr>
    </w:p>
    <w:p w14:paraId="2359F0DE" w14:textId="5B9259FD" w:rsidR="00B039CD" w:rsidRDefault="00B039CD" w:rsidP="00101B3F">
      <w:pPr>
        <w:spacing w:after="0"/>
        <w:jc w:val="both"/>
        <w:rPr>
          <w:rFonts w:ascii="Times New Roman" w:hAnsi="Times New Roman" w:cs="Times New Roman"/>
          <w:sz w:val="24"/>
          <w:szCs w:val="24"/>
        </w:rPr>
      </w:pPr>
      <w:r>
        <w:rPr>
          <w:rFonts w:ascii="Times New Roman" w:hAnsi="Times New Roman" w:cs="Times New Roman"/>
          <w:sz w:val="24"/>
          <w:szCs w:val="24"/>
        </w:rPr>
        <w:t xml:space="preserve">Risposta: </w:t>
      </w:r>
      <w:r w:rsidR="003314AE" w:rsidRPr="003314AE">
        <w:rPr>
          <w:rFonts w:ascii="Times New Roman" w:hAnsi="Times New Roman" w:cs="Times New Roman"/>
          <w:sz w:val="24"/>
          <w:szCs w:val="24"/>
        </w:rPr>
        <w:t xml:space="preserve">In generale si rileva che, relativamente ai controlli delle situazioni che non determinano automaticamente l’esclusione dalla gara, </w:t>
      </w:r>
      <w:r w:rsidR="003314AE" w:rsidRPr="003314AE">
        <w:rPr>
          <w:rFonts w:ascii="Times New Roman" w:hAnsi="Times New Roman" w:cs="Times New Roman"/>
          <w:b/>
          <w:bCs/>
          <w:sz w:val="24"/>
          <w:szCs w:val="24"/>
        </w:rPr>
        <w:t>è rimessa alla stazione appaltante la valutazione di procedere o meno alla richiesta del certificato dei carichi pendenti</w:t>
      </w:r>
      <w:r w:rsidR="003314AE" w:rsidRPr="003314AE">
        <w:rPr>
          <w:rFonts w:ascii="Times New Roman" w:hAnsi="Times New Roman" w:cs="Times New Roman"/>
          <w:sz w:val="24"/>
          <w:szCs w:val="24"/>
        </w:rPr>
        <w:t xml:space="preserve">, le cui risultanze saranno eventualmente riprese nella motivazione del provvedimento di ammissione/esclusione. Al riguardo si rimanda alla delibera ANAC n. 262 del 20 giugno 2023 e ai relativi allegati. Relativamente alle fattispecie di cui alle norme citate nel quesito, si rileva che </w:t>
      </w:r>
      <w:r w:rsidR="003314AE" w:rsidRPr="003314AE">
        <w:rPr>
          <w:rFonts w:ascii="Times New Roman" w:hAnsi="Times New Roman" w:cs="Times New Roman"/>
          <w:b/>
          <w:bCs/>
          <w:sz w:val="24"/>
          <w:szCs w:val="24"/>
        </w:rPr>
        <w:t>laddove l’operatore economico nei documenti di gara dichiari la pendenza di un processo in corso afferente alle stesse, oppure in ogni caso qualora ricorrano fondati elementi, la stazione appaltante dovrà procedere alla richiesta del certificato dei carichi pendenti nel luogo dove è pendente la situazione, anche ai fini della motivazione del provvedimento di ammissione/esclusione</w:t>
      </w:r>
      <w:r w:rsidR="003314AE" w:rsidRPr="003314AE">
        <w:rPr>
          <w:rFonts w:ascii="Times New Roman" w:hAnsi="Times New Roman" w:cs="Times New Roman"/>
          <w:sz w:val="24"/>
          <w:szCs w:val="24"/>
        </w:rPr>
        <w:t>.</w:t>
      </w:r>
    </w:p>
    <w:p w14:paraId="198C9878" w14:textId="407536A9" w:rsidR="003314AE" w:rsidRDefault="003314AE" w:rsidP="00101B3F">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 </w:t>
      </w:r>
      <w:r w:rsidR="00B46890">
        <w:rPr>
          <w:rFonts w:ascii="Times New Roman" w:hAnsi="Times New Roman" w:cs="Times New Roman"/>
          <w:sz w:val="24"/>
          <w:szCs w:val="24"/>
        </w:rPr>
        <w:t xml:space="preserve"> </w:t>
      </w:r>
    </w:p>
    <w:p w14:paraId="0E4BB3B8" w14:textId="49F63ED2" w:rsidR="00B46890" w:rsidRPr="00B46890" w:rsidRDefault="00B46890" w:rsidP="00101B3F">
      <w:pPr>
        <w:spacing w:after="0"/>
        <w:jc w:val="both"/>
        <w:rPr>
          <w:rFonts w:ascii="Times New Roman" w:hAnsi="Times New Roman" w:cs="Times New Roman"/>
          <w:b/>
          <w:bCs/>
          <w:sz w:val="24"/>
          <w:szCs w:val="24"/>
        </w:rPr>
      </w:pPr>
      <w:r w:rsidRPr="00B46890">
        <w:rPr>
          <w:rFonts w:ascii="Times New Roman" w:hAnsi="Times New Roman" w:cs="Times New Roman"/>
          <w:b/>
          <w:bCs/>
          <w:sz w:val="24"/>
          <w:szCs w:val="24"/>
        </w:rPr>
        <w:t>Tar Sardegna, Sez. I, 08/03/2025, n. 221</w:t>
      </w:r>
    </w:p>
    <w:p w14:paraId="1C4D991E" w14:textId="6FD808EF" w:rsidR="00B46890" w:rsidRPr="00B46890" w:rsidRDefault="00B46890" w:rsidP="00101B3F">
      <w:pPr>
        <w:spacing w:after="0"/>
        <w:jc w:val="both"/>
        <w:rPr>
          <w:rFonts w:ascii="Times New Roman" w:hAnsi="Times New Roman" w:cs="Times New Roman"/>
          <w:b/>
          <w:bCs/>
          <w:i/>
          <w:iCs/>
          <w:sz w:val="24"/>
          <w:szCs w:val="24"/>
        </w:rPr>
      </w:pPr>
      <w:r w:rsidRPr="00B46890">
        <w:rPr>
          <w:rFonts w:ascii="Times New Roman" w:hAnsi="Times New Roman" w:cs="Times New Roman"/>
          <w:b/>
          <w:bCs/>
          <w:i/>
          <w:iCs/>
          <w:sz w:val="24"/>
          <w:szCs w:val="24"/>
        </w:rPr>
        <w:t xml:space="preserve">Sull’assenza di limiti temporali all’espletamento del potere di controllo dei requisiti </w:t>
      </w:r>
    </w:p>
    <w:p w14:paraId="757AB773" w14:textId="77777777" w:rsidR="00B46890" w:rsidRPr="00B46890" w:rsidRDefault="00B46890" w:rsidP="00B46890">
      <w:pPr>
        <w:spacing w:after="0"/>
        <w:jc w:val="both"/>
        <w:rPr>
          <w:rFonts w:ascii="Times New Roman" w:hAnsi="Times New Roman" w:cs="Times New Roman"/>
          <w:sz w:val="24"/>
          <w:szCs w:val="24"/>
        </w:rPr>
      </w:pPr>
      <w:r w:rsidRPr="00B46890">
        <w:rPr>
          <w:rFonts w:ascii="Times New Roman" w:hAnsi="Times New Roman" w:cs="Times New Roman"/>
          <w:sz w:val="24"/>
          <w:szCs w:val="24"/>
        </w:rPr>
        <w:t xml:space="preserve">Il potere di accertare il possesso della capacità di partecipazione </w:t>
      </w:r>
      <w:r w:rsidRPr="00B46890">
        <w:rPr>
          <w:rFonts w:ascii="Times New Roman" w:hAnsi="Times New Roman" w:cs="Times New Roman"/>
          <w:b/>
          <w:bCs/>
          <w:sz w:val="24"/>
          <w:szCs w:val="24"/>
        </w:rPr>
        <w:t>è un potere immanente</w:t>
      </w:r>
      <w:r w:rsidRPr="00B46890">
        <w:rPr>
          <w:rFonts w:ascii="Times New Roman" w:hAnsi="Times New Roman" w:cs="Times New Roman"/>
          <w:sz w:val="24"/>
          <w:szCs w:val="24"/>
        </w:rPr>
        <w:t xml:space="preserve"> in capo alla stazione appaltante e non incontra </w:t>
      </w:r>
      <w:r w:rsidRPr="00B46890">
        <w:rPr>
          <w:rFonts w:ascii="Times New Roman" w:hAnsi="Times New Roman" w:cs="Times New Roman"/>
          <w:b/>
          <w:bCs/>
          <w:sz w:val="24"/>
          <w:szCs w:val="24"/>
        </w:rPr>
        <w:t>preclusioni temporali o procedimentali o negoziali</w:t>
      </w:r>
      <w:r w:rsidRPr="00B46890">
        <w:rPr>
          <w:rFonts w:ascii="Times New Roman" w:hAnsi="Times New Roman" w:cs="Times New Roman"/>
          <w:sz w:val="24"/>
          <w:szCs w:val="24"/>
        </w:rPr>
        <w:t xml:space="preserve">, potendosi manifestare </w:t>
      </w:r>
      <w:r w:rsidRPr="00B46890">
        <w:rPr>
          <w:rFonts w:ascii="Times New Roman" w:hAnsi="Times New Roman" w:cs="Times New Roman"/>
          <w:b/>
          <w:bCs/>
          <w:sz w:val="24"/>
          <w:szCs w:val="24"/>
        </w:rPr>
        <w:t>in ogni tempo e fase della procedura</w:t>
      </w:r>
      <w:r w:rsidRPr="00B46890">
        <w:rPr>
          <w:rFonts w:ascii="Times New Roman" w:hAnsi="Times New Roman" w:cs="Times New Roman"/>
          <w:sz w:val="24"/>
          <w:szCs w:val="24"/>
        </w:rPr>
        <w:t xml:space="preserve"> ad evidenza pubblica.</w:t>
      </w:r>
    </w:p>
    <w:p w14:paraId="4DE3B548" w14:textId="77777777" w:rsidR="00B46890" w:rsidRPr="00B46890" w:rsidRDefault="00B46890" w:rsidP="00B46890">
      <w:pPr>
        <w:spacing w:after="0"/>
        <w:jc w:val="both"/>
        <w:rPr>
          <w:rFonts w:ascii="Times New Roman" w:hAnsi="Times New Roman" w:cs="Times New Roman"/>
          <w:sz w:val="24"/>
          <w:szCs w:val="24"/>
        </w:rPr>
      </w:pPr>
      <w:r w:rsidRPr="00B46890">
        <w:rPr>
          <w:rFonts w:ascii="Times New Roman" w:hAnsi="Times New Roman" w:cs="Times New Roman"/>
          <w:sz w:val="24"/>
          <w:szCs w:val="24"/>
        </w:rPr>
        <w:t xml:space="preserve">Durante il sub-procedimento (o fase) di ammissione dei concorrenti, la stazione appaltante compie un </w:t>
      </w:r>
      <w:r w:rsidRPr="00B46890">
        <w:rPr>
          <w:rFonts w:ascii="Times New Roman" w:hAnsi="Times New Roman" w:cs="Times New Roman"/>
          <w:b/>
          <w:bCs/>
          <w:sz w:val="24"/>
          <w:szCs w:val="24"/>
        </w:rPr>
        <w:t>accertamento preliminare sulla capacità generale di partecipazione</w:t>
      </w:r>
      <w:r w:rsidRPr="00B46890">
        <w:rPr>
          <w:rFonts w:ascii="Times New Roman" w:hAnsi="Times New Roman" w:cs="Times New Roman"/>
          <w:sz w:val="24"/>
          <w:szCs w:val="24"/>
        </w:rPr>
        <w:t>. Sotto il profilo soggettivo l’accertamento che si compie in questa fase (di ammissione) riguarda indistintamente tutti coloro che presentano domanda di partecipazione. Sotto il profilo oggettivo l’accertamento è, invece, circoscritto al possesso dei requisiti generali di partecipazione in base alla documentazione allegata o trasmessa dal concorrente e comunque in possesso della stazione appaltante al momento della verifica.</w:t>
      </w:r>
    </w:p>
    <w:p w14:paraId="42997100" w14:textId="77777777" w:rsidR="00B46890" w:rsidRPr="00B46890" w:rsidRDefault="00B46890" w:rsidP="00B46890">
      <w:pPr>
        <w:spacing w:after="0"/>
        <w:jc w:val="both"/>
        <w:rPr>
          <w:rFonts w:ascii="Times New Roman" w:hAnsi="Times New Roman" w:cs="Times New Roman"/>
          <w:sz w:val="24"/>
          <w:szCs w:val="24"/>
        </w:rPr>
      </w:pPr>
      <w:r w:rsidRPr="00B46890">
        <w:rPr>
          <w:rFonts w:ascii="Times New Roman" w:hAnsi="Times New Roman" w:cs="Times New Roman"/>
          <w:sz w:val="24"/>
          <w:szCs w:val="24"/>
        </w:rPr>
        <w:lastRenderedPageBreak/>
        <w:t>L’esito dell’accertamento si conclude con l’ammissione o con l’esclusione.</w:t>
      </w:r>
    </w:p>
    <w:p w14:paraId="39F74C24" w14:textId="77777777" w:rsidR="00B46890" w:rsidRPr="00B46890" w:rsidRDefault="00B46890" w:rsidP="00B46890">
      <w:pPr>
        <w:spacing w:after="0"/>
        <w:jc w:val="both"/>
        <w:rPr>
          <w:rFonts w:ascii="Times New Roman" w:hAnsi="Times New Roman" w:cs="Times New Roman"/>
          <w:sz w:val="24"/>
          <w:szCs w:val="24"/>
        </w:rPr>
      </w:pPr>
      <w:r w:rsidRPr="00B46890">
        <w:rPr>
          <w:rFonts w:ascii="Times New Roman" w:hAnsi="Times New Roman" w:cs="Times New Roman"/>
          <w:sz w:val="24"/>
          <w:szCs w:val="24"/>
        </w:rPr>
        <w:t>Laddove si conclude con l’ammissione, il concorrente può partecipare alle successive fasi della procedura, fermo restando che la stazione appaltante può comunque escludere in seguito il concorrente ove dovessero emergere circostanze idonee a giustificarne l’esclusione.</w:t>
      </w:r>
    </w:p>
    <w:p w14:paraId="6C62E80C" w14:textId="77777777" w:rsidR="00B46890" w:rsidRPr="00B46890" w:rsidRDefault="00B46890" w:rsidP="00B46890">
      <w:pPr>
        <w:spacing w:after="0"/>
        <w:jc w:val="both"/>
        <w:rPr>
          <w:rFonts w:ascii="Times New Roman" w:hAnsi="Times New Roman" w:cs="Times New Roman"/>
          <w:sz w:val="24"/>
          <w:szCs w:val="24"/>
        </w:rPr>
      </w:pPr>
      <w:r w:rsidRPr="00B46890">
        <w:rPr>
          <w:rFonts w:ascii="Times New Roman" w:hAnsi="Times New Roman" w:cs="Times New Roman"/>
          <w:sz w:val="24"/>
          <w:szCs w:val="24"/>
        </w:rPr>
        <w:t>Ciò in quanto l’atto di accertamento dei requisiti – come atto ad esito provvisorio e quindi instabile- può sempre essere modificato dalla stazione appaltante nel corso della procedura mediante un distinto atto amministrativo (T.A.R. Lazio Roma, Sez. II, Sent., 07/12/2022, n. 16345).</w:t>
      </w:r>
    </w:p>
    <w:p w14:paraId="551D13B4" w14:textId="6A42EA47" w:rsidR="00B46890" w:rsidRDefault="00B46890" w:rsidP="00B46890">
      <w:pPr>
        <w:spacing w:after="0"/>
        <w:jc w:val="both"/>
        <w:rPr>
          <w:rFonts w:ascii="Times New Roman" w:hAnsi="Times New Roman" w:cs="Times New Roman"/>
          <w:sz w:val="24"/>
          <w:szCs w:val="24"/>
        </w:rPr>
      </w:pPr>
      <w:r w:rsidRPr="00B46890">
        <w:rPr>
          <w:rFonts w:ascii="Times New Roman" w:hAnsi="Times New Roman" w:cs="Times New Roman"/>
          <w:sz w:val="24"/>
          <w:szCs w:val="24"/>
        </w:rPr>
        <w:t>Nel caso di specie, l’intervento della Commissione di gara nella fase di ammissione dei concorrenti si è esaurito in un mero controllo formale della documentazione ed era perciò destinato a intercettare solo l’eventuale assenza di alcuno dei documenti richiesti dalla “</w:t>
      </w:r>
      <w:proofErr w:type="spellStart"/>
      <w:r w:rsidRPr="00B46890">
        <w:rPr>
          <w:rFonts w:ascii="Times New Roman" w:hAnsi="Times New Roman" w:cs="Times New Roman"/>
          <w:sz w:val="24"/>
          <w:szCs w:val="24"/>
        </w:rPr>
        <w:t>lex</w:t>
      </w:r>
      <w:proofErr w:type="spellEnd"/>
      <w:r w:rsidRPr="00B46890">
        <w:rPr>
          <w:rFonts w:ascii="Times New Roman" w:hAnsi="Times New Roman" w:cs="Times New Roman"/>
          <w:sz w:val="24"/>
          <w:szCs w:val="24"/>
        </w:rPr>
        <w:t xml:space="preserve"> </w:t>
      </w:r>
      <w:proofErr w:type="spellStart"/>
      <w:r w:rsidRPr="00B46890">
        <w:rPr>
          <w:rFonts w:ascii="Times New Roman" w:hAnsi="Times New Roman" w:cs="Times New Roman"/>
          <w:sz w:val="24"/>
          <w:szCs w:val="24"/>
        </w:rPr>
        <w:t>specialis</w:t>
      </w:r>
      <w:proofErr w:type="spellEnd"/>
      <w:r w:rsidRPr="00B46890">
        <w:rPr>
          <w:rFonts w:ascii="Times New Roman" w:hAnsi="Times New Roman" w:cs="Times New Roman"/>
          <w:sz w:val="24"/>
          <w:szCs w:val="24"/>
        </w:rPr>
        <w:t>” ovvero errori macroscopici compiuti dagli operatori economici nel loro inserimento all’interno dei plichi consegnati alla stazione appaltante, senza implicare la disamina del contenuto dei documenti medesimi.</w:t>
      </w:r>
    </w:p>
    <w:p w14:paraId="5EE84916" w14:textId="77777777" w:rsidR="00B46890" w:rsidRDefault="00B46890" w:rsidP="00B46890">
      <w:pPr>
        <w:spacing w:after="0"/>
        <w:jc w:val="both"/>
        <w:rPr>
          <w:rFonts w:ascii="Times New Roman" w:hAnsi="Times New Roman" w:cs="Times New Roman"/>
          <w:sz w:val="24"/>
          <w:szCs w:val="24"/>
        </w:rPr>
      </w:pPr>
    </w:p>
    <w:p w14:paraId="4F5878D8" w14:textId="3C2041E5" w:rsidR="00B46890" w:rsidRPr="00B46890" w:rsidRDefault="00B46890" w:rsidP="00B46890">
      <w:pPr>
        <w:spacing w:after="0"/>
        <w:jc w:val="both"/>
        <w:rPr>
          <w:rFonts w:ascii="Times New Roman" w:hAnsi="Times New Roman" w:cs="Times New Roman"/>
          <w:b/>
          <w:bCs/>
          <w:i/>
          <w:iCs/>
          <w:sz w:val="24"/>
          <w:szCs w:val="24"/>
        </w:rPr>
      </w:pPr>
      <w:r w:rsidRPr="00B46890">
        <w:rPr>
          <w:rFonts w:ascii="Times New Roman" w:hAnsi="Times New Roman" w:cs="Times New Roman"/>
          <w:b/>
          <w:bCs/>
          <w:i/>
          <w:iCs/>
          <w:sz w:val="24"/>
          <w:szCs w:val="24"/>
        </w:rPr>
        <w:t>Sul</w:t>
      </w:r>
      <w:r>
        <w:rPr>
          <w:rFonts w:ascii="Times New Roman" w:hAnsi="Times New Roman" w:cs="Times New Roman"/>
          <w:b/>
          <w:bCs/>
          <w:i/>
          <w:iCs/>
          <w:sz w:val="24"/>
          <w:szCs w:val="24"/>
        </w:rPr>
        <w:t xml:space="preserve"> principio di </w:t>
      </w:r>
      <w:r w:rsidRPr="00B46890">
        <w:rPr>
          <w:rFonts w:ascii="Times New Roman" w:hAnsi="Times New Roman" w:cs="Times New Roman"/>
          <w:b/>
          <w:bCs/>
          <w:i/>
          <w:iCs/>
          <w:sz w:val="24"/>
          <w:szCs w:val="24"/>
        </w:rPr>
        <w:t xml:space="preserve">continuità del possesso dei requisiti </w:t>
      </w:r>
    </w:p>
    <w:p w14:paraId="6F7B1B7E" w14:textId="72030D59" w:rsidR="00B46890" w:rsidRPr="00B46890" w:rsidRDefault="00B46890" w:rsidP="00B46890">
      <w:pPr>
        <w:spacing w:after="0"/>
        <w:jc w:val="both"/>
        <w:rPr>
          <w:rFonts w:ascii="Times New Roman" w:hAnsi="Times New Roman" w:cs="Times New Roman"/>
          <w:sz w:val="24"/>
          <w:szCs w:val="24"/>
        </w:rPr>
      </w:pPr>
      <w:r>
        <w:rPr>
          <w:rFonts w:ascii="Times New Roman" w:hAnsi="Times New Roman" w:cs="Times New Roman"/>
          <w:sz w:val="24"/>
          <w:szCs w:val="24"/>
        </w:rPr>
        <w:t>I</w:t>
      </w:r>
      <w:r w:rsidRPr="00B46890">
        <w:rPr>
          <w:rFonts w:ascii="Times New Roman" w:hAnsi="Times New Roman" w:cs="Times New Roman"/>
          <w:sz w:val="24"/>
          <w:szCs w:val="24"/>
        </w:rPr>
        <w:t xml:space="preserve">l principio (su cui v., “ex </w:t>
      </w:r>
      <w:proofErr w:type="spellStart"/>
      <w:r w:rsidRPr="00B46890">
        <w:rPr>
          <w:rFonts w:ascii="Times New Roman" w:hAnsi="Times New Roman" w:cs="Times New Roman"/>
          <w:sz w:val="24"/>
          <w:szCs w:val="24"/>
        </w:rPr>
        <w:t>multis</w:t>
      </w:r>
      <w:proofErr w:type="spellEnd"/>
      <w:r w:rsidRPr="00B46890">
        <w:rPr>
          <w:rFonts w:ascii="Times New Roman" w:hAnsi="Times New Roman" w:cs="Times New Roman"/>
          <w:sz w:val="24"/>
          <w:szCs w:val="24"/>
        </w:rPr>
        <w:t>”, Cons Stato, V, 29 ottobre 2019, n. 8514/19, Cons. Stato, III, 13 giugno 2018, n. 3628) – operante in diretta coerenza con l’obbligo di mantenere i requisiti per tutta la durata del procedimento e successivamente alla sua conclusione (cfr. Cons Stato, VI, 25 settembre 2017, n. 4470) – che impone ai partecipanti alle procedure d’appalto della pubblica amministrazione di comunicare a quest’ultima, nel corso della gara, tutte le vicende, anche sopravvenute, attinenti allo svolgimento della propria attività professionale, al fine di consentire alla stazione appaltante di valutare l’eventuale incidenza di tali precedenti sulla reale affidabilità, morale e professionale, dei concorrenti. (v. T.A.R. Lazio – Roma, Sez. V quater, Sent., 14/10/2024, n. 17666).</w:t>
      </w:r>
    </w:p>
    <w:p w14:paraId="2C9386E7" w14:textId="6783D246" w:rsidR="00B46890" w:rsidRDefault="00B46890" w:rsidP="00101B3F">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 </w:t>
      </w:r>
    </w:p>
    <w:p w14:paraId="30955F46" w14:textId="77777777" w:rsidR="00B46890" w:rsidRDefault="00B46890" w:rsidP="00101B3F">
      <w:pPr>
        <w:spacing w:after="0"/>
        <w:jc w:val="both"/>
        <w:rPr>
          <w:rFonts w:ascii="Times New Roman" w:hAnsi="Times New Roman" w:cs="Times New Roman"/>
          <w:sz w:val="24"/>
          <w:szCs w:val="24"/>
        </w:rPr>
      </w:pPr>
    </w:p>
    <w:p w14:paraId="1C3A4E3D" w14:textId="77777777" w:rsidR="00B039CD" w:rsidRDefault="00B039CD" w:rsidP="00101B3F">
      <w:pPr>
        <w:spacing w:after="0"/>
        <w:jc w:val="both"/>
        <w:rPr>
          <w:rFonts w:ascii="Times New Roman" w:hAnsi="Times New Roman" w:cs="Times New Roman"/>
          <w:sz w:val="24"/>
          <w:szCs w:val="24"/>
        </w:rPr>
      </w:pPr>
    </w:p>
    <w:p w14:paraId="2DE15D8A" w14:textId="618E2DCC" w:rsidR="00847B1A" w:rsidRPr="00847B1A" w:rsidRDefault="00847B1A" w:rsidP="00847B1A">
      <w:pPr>
        <w:spacing w:after="0"/>
        <w:jc w:val="center"/>
        <w:rPr>
          <w:rFonts w:ascii="Times New Roman" w:hAnsi="Times New Roman" w:cs="Times New Roman"/>
          <w:b/>
          <w:bCs/>
          <w:sz w:val="28"/>
          <w:szCs w:val="28"/>
        </w:rPr>
      </w:pPr>
      <w:r w:rsidRPr="00847B1A">
        <w:rPr>
          <w:rFonts w:ascii="Times New Roman" w:hAnsi="Times New Roman" w:cs="Times New Roman"/>
          <w:b/>
          <w:bCs/>
          <w:sz w:val="24"/>
          <w:szCs w:val="24"/>
          <w:highlight w:val="yellow"/>
        </w:rPr>
        <w:t>CONCESSIONI</w:t>
      </w:r>
    </w:p>
    <w:p w14:paraId="363F8918" w14:textId="77777777" w:rsidR="00847B1A" w:rsidRDefault="00847B1A" w:rsidP="009918B3">
      <w:pPr>
        <w:spacing w:after="0"/>
        <w:jc w:val="both"/>
        <w:rPr>
          <w:rFonts w:ascii="Times New Roman" w:hAnsi="Times New Roman" w:cs="Times New Roman"/>
          <w:b/>
          <w:bCs/>
          <w:sz w:val="24"/>
          <w:szCs w:val="24"/>
        </w:rPr>
      </w:pPr>
    </w:p>
    <w:p w14:paraId="2B0DE05F" w14:textId="39CE3121" w:rsidR="009918B3" w:rsidRDefault="009918B3" w:rsidP="009918B3">
      <w:pPr>
        <w:spacing w:after="0"/>
        <w:jc w:val="both"/>
        <w:rPr>
          <w:rFonts w:ascii="Times New Roman" w:hAnsi="Times New Roman" w:cs="Times New Roman"/>
          <w:b/>
          <w:bCs/>
          <w:sz w:val="24"/>
          <w:szCs w:val="24"/>
        </w:rPr>
      </w:pPr>
      <w:r>
        <w:rPr>
          <w:rFonts w:ascii="Times New Roman" w:hAnsi="Times New Roman" w:cs="Times New Roman"/>
          <w:b/>
          <w:bCs/>
          <w:sz w:val="24"/>
          <w:szCs w:val="24"/>
        </w:rPr>
        <w:t>Tar Emilia Romagna, Bologna, Sez. II, 11.02.2025, n. 128</w:t>
      </w:r>
    </w:p>
    <w:p w14:paraId="1309CEAE" w14:textId="299A99E0" w:rsidR="009918B3" w:rsidRPr="009918B3" w:rsidRDefault="009918B3" w:rsidP="009918B3">
      <w:pPr>
        <w:spacing w:after="0"/>
        <w:jc w:val="both"/>
        <w:rPr>
          <w:rFonts w:ascii="Times New Roman" w:hAnsi="Times New Roman" w:cs="Times New Roman"/>
          <w:b/>
          <w:bCs/>
          <w:i/>
          <w:iCs/>
          <w:sz w:val="24"/>
          <w:szCs w:val="24"/>
        </w:rPr>
      </w:pPr>
      <w:r w:rsidRPr="009918B3">
        <w:rPr>
          <w:rFonts w:ascii="Times New Roman" w:hAnsi="Times New Roman" w:cs="Times New Roman"/>
          <w:b/>
          <w:bCs/>
          <w:i/>
          <w:iCs/>
          <w:sz w:val="24"/>
          <w:szCs w:val="24"/>
        </w:rPr>
        <w:t>Sulla differenza tra concessione di servizi e appalto</w:t>
      </w:r>
    </w:p>
    <w:p w14:paraId="19941E3D" w14:textId="74A10CA0"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 xml:space="preserve">Invero, secondo la pacifica giurisprudenza si ha un </w:t>
      </w:r>
      <w:r w:rsidRPr="009918B3">
        <w:rPr>
          <w:rFonts w:ascii="Times New Roman" w:hAnsi="Times New Roman" w:cs="Times New Roman"/>
          <w:b/>
          <w:bCs/>
          <w:sz w:val="24"/>
          <w:szCs w:val="24"/>
        </w:rPr>
        <w:t>appalto di servizi</w:t>
      </w:r>
      <w:r w:rsidRPr="009918B3">
        <w:rPr>
          <w:rFonts w:ascii="Times New Roman" w:hAnsi="Times New Roman" w:cs="Times New Roman"/>
          <w:sz w:val="24"/>
          <w:szCs w:val="24"/>
        </w:rPr>
        <w:t xml:space="preserve"> quando il </w:t>
      </w:r>
      <w:r w:rsidRPr="009918B3">
        <w:rPr>
          <w:rFonts w:ascii="Times New Roman" w:hAnsi="Times New Roman" w:cs="Times New Roman"/>
          <w:b/>
          <w:bCs/>
          <w:sz w:val="24"/>
          <w:szCs w:val="24"/>
        </w:rPr>
        <w:t>corrispettivo è pagato direttamente dall’Amministrazione al prestatore del servizio</w:t>
      </w:r>
      <w:r w:rsidRPr="009918B3">
        <w:rPr>
          <w:rFonts w:ascii="Times New Roman" w:hAnsi="Times New Roman" w:cs="Times New Roman"/>
          <w:sz w:val="24"/>
          <w:szCs w:val="24"/>
        </w:rPr>
        <w:t xml:space="preserve">, il quale, conseguentemente, non ne sopporta il rischio legato alla gestione, a differenza del </w:t>
      </w:r>
      <w:r w:rsidRPr="009918B3">
        <w:rPr>
          <w:rFonts w:ascii="Times New Roman" w:hAnsi="Times New Roman" w:cs="Times New Roman"/>
          <w:b/>
          <w:bCs/>
          <w:sz w:val="24"/>
          <w:szCs w:val="24"/>
        </w:rPr>
        <w:t>concessionario di servizi</w:t>
      </w:r>
      <w:r w:rsidRPr="009918B3">
        <w:rPr>
          <w:rFonts w:ascii="Times New Roman" w:hAnsi="Times New Roman" w:cs="Times New Roman"/>
          <w:sz w:val="24"/>
          <w:szCs w:val="24"/>
        </w:rPr>
        <w:t xml:space="preserve">, il quale </w:t>
      </w:r>
      <w:r w:rsidRPr="009918B3">
        <w:rPr>
          <w:rFonts w:ascii="Times New Roman" w:hAnsi="Times New Roman" w:cs="Times New Roman"/>
          <w:b/>
          <w:bCs/>
          <w:sz w:val="24"/>
          <w:szCs w:val="24"/>
        </w:rPr>
        <w:t>trae la propria remunerazione dai proventi ricavati dagli utenti</w:t>
      </w:r>
      <w:r w:rsidRPr="009918B3">
        <w:rPr>
          <w:rFonts w:ascii="Times New Roman" w:hAnsi="Times New Roman" w:cs="Times New Roman"/>
          <w:sz w:val="24"/>
          <w:szCs w:val="24"/>
        </w:rPr>
        <w:t xml:space="preserve"> (cfr., Cass. S.U. sentenza n. 23155/2024; Corte giustizia UE sez. VIII, 10/11/2022, n.486). Solamente </w:t>
      </w:r>
      <w:r w:rsidRPr="009918B3">
        <w:rPr>
          <w:rFonts w:ascii="Times New Roman" w:hAnsi="Times New Roman" w:cs="Times New Roman"/>
          <w:b/>
          <w:bCs/>
          <w:sz w:val="24"/>
          <w:szCs w:val="24"/>
        </w:rPr>
        <w:t>se non c'è trasferimento del rischio operativo, almeno parziale, a carico del privato</w:t>
      </w:r>
      <w:r w:rsidRPr="009918B3">
        <w:rPr>
          <w:rFonts w:ascii="Times New Roman" w:hAnsi="Times New Roman" w:cs="Times New Roman"/>
          <w:sz w:val="24"/>
          <w:szCs w:val="24"/>
        </w:rPr>
        <w:t xml:space="preserve">, il contratto può essere qualificato come </w:t>
      </w:r>
      <w:r w:rsidRPr="009918B3">
        <w:rPr>
          <w:rFonts w:ascii="Times New Roman" w:hAnsi="Times New Roman" w:cs="Times New Roman"/>
          <w:b/>
          <w:bCs/>
          <w:sz w:val="24"/>
          <w:szCs w:val="24"/>
        </w:rPr>
        <w:t>appalto</w:t>
      </w:r>
      <w:r w:rsidRPr="009918B3">
        <w:rPr>
          <w:rFonts w:ascii="Times New Roman" w:hAnsi="Times New Roman" w:cs="Times New Roman"/>
          <w:sz w:val="24"/>
          <w:szCs w:val="24"/>
        </w:rPr>
        <w:t>; diversamente esso va ascritto al paradigma della concessione (cfr., T.A.R. Lazio – Roma, Sez. II, sentenza n. 18072/2023).</w:t>
      </w:r>
    </w:p>
    <w:p w14:paraId="6258BD56" w14:textId="77777777"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La qualificazione giudica del contratto è fondamentale al fine di individuare la disciplina normativa a cui esso è assoggettato.</w:t>
      </w:r>
    </w:p>
    <w:p w14:paraId="01646868" w14:textId="77777777"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 xml:space="preserve">7.3.1. Ora, nel caso di specie, il Disciplinare di gara all’articolo 1.3 prevede che «All’aggiudicatario, quale corrispettivo per il servizio reso, </w:t>
      </w:r>
      <w:r w:rsidRPr="009918B3">
        <w:rPr>
          <w:rFonts w:ascii="Times New Roman" w:hAnsi="Times New Roman" w:cs="Times New Roman"/>
          <w:b/>
          <w:bCs/>
          <w:sz w:val="24"/>
          <w:szCs w:val="24"/>
        </w:rPr>
        <w:t>verrà riconosciuto esclusivamente il diritto di riscuotere, ricevere e/o trattenere, dai partecipanti alle prove di ammissione il contributo di partecipazione</w:t>
      </w:r>
      <w:r w:rsidRPr="009918B3">
        <w:rPr>
          <w:rFonts w:ascii="Times New Roman" w:hAnsi="Times New Roman" w:cs="Times New Roman"/>
          <w:sz w:val="24"/>
          <w:szCs w:val="24"/>
        </w:rPr>
        <w:t xml:space="preserve"> predeterminato secondo quanto meglio indicato nello schema di contratto al punto 6», ovverosia €uro 130,00 a iscritto.</w:t>
      </w:r>
    </w:p>
    <w:p w14:paraId="0406214C" w14:textId="77777777" w:rsidR="009918B3" w:rsidRPr="009918B3" w:rsidRDefault="009918B3" w:rsidP="009918B3">
      <w:pPr>
        <w:spacing w:after="0"/>
        <w:jc w:val="both"/>
        <w:rPr>
          <w:rFonts w:ascii="Times New Roman" w:hAnsi="Times New Roman" w:cs="Times New Roman"/>
          <w:b/>
          <w:bCs/>
          <w:sz w:val="24"/>
          <w:szCs w:val="24"/>
        </w:rPr>
      </w:pPr>
      <w:r w:rsidRPr="009918B3">
        <w:rPr>
          <w:rFonts w:ascii="Times New Roman" w:hAnsi="Times New Roman" w:cs="Times New Roman"/>
          <w:sz w:val="24"/>
          <w:szCs w:val="24"/>
        </w:rPr>
        <w:t xml:space="preserve">Poiché, in effetti </w:t>
      </w:r>
      <w:r w:rsidRPr="009918B3">
        <w:rPr>
          <w:rFonts w:ascii="Times New Roman" w:hAnsi="Times New Roman" w:cs="Times New Roman"/>
          <w:b/>
          <w:bCs/>
          <w:sz w:val="24"/>
          <w:szCs w:val="24"/>
        </w:rPr>
        <w:t>il corrispettivo</w:t>
      </w:r>
      <w:r w:rsidRPr="009918B3">
        <w:rPr>
          <w:rFonts w:ascii="Times New Roman" w:hAnsi="Times New Roman" w:cs="Times New Roman"/>
          <w:sz w:val="24"/>
          <w:szCs w:val="24"/>
        </w:rPr>
        <w:t xml:space="preserve"> che percepisce il contraente privato </w:t>
      </w:r>
      <w:r w:rsidRPr="009918B3">
        <w:rPr>
          <w:rFonts w:ascii="Times New Roman" w:hAnsi="Times New Roman" w:cs="Times New Roman"/>
          <w:b/>
          <w:bCs/>
          <w:sz w:val="24"/>
          <w:szCs w:val="24"/>
        </w:rPr>
        <w:t xml:space="preserve">varia </w:t>
      </w:r>
      <w:r w:rsidRPr="009918B3">
        <w:rPr>
          <w:rFonts w:ascii="Times New Roman" w:hAnsi="Times New Roman" w:cs="Times New Roman"/>
          <w:sz w:val="24"/>
          <w:szCs w:val="24"/>
        </w:rPr>
        <w:t xml:space="preserve">in relazione al numero dei partecipanti alla prova di ammissione, può concludersi che </w:t>
      </w:r>
      <w:r w:rsidRPr="009918B3">
        <w:rPr>
          <w:rFonts w:ascii="Times New Roman" w:hAnsi="Times New Roman" w:cs="Times New Roman"/>
          <w:b/>
          <w:bCs/>
          <w:sz w:val="24"/>
          <w:szCs w:val="24"/>
        </w:rPr>
        <w:t xml:space="preserve">l’aggiudicatario assume il rischio di </w:t>
      </w:r>
      <w:r w:rsidRPr="009918B3">
        <w:rPr>
          <w:rFonts w:ascii="Times New Roman" w:hAnsi="Times New Roman" w:cs="Times New Roman"/>
          <w:b/>
          <w:bCs/>
          <w:sz w:val="24"/>
          <w:szCs w:val="24"/>
        </w:rPr>
        <w:lastRenderedPageBreak/>
        <w:t>non vedersi rimunerati le risorse umane, organizzative e strumentali messe in campo per eseguire il contratto medesimo.</w:t>
      </w:r>
    </w:p>
    <w:p w14:paraId="7A3806F8" w14:textId="77777777"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Questo porta a qualificare il contratto in esame come concessione.</w:t>
      </w:r>
    </w:p>
    <w:p w14:paraId="527063CB" w14:textId="74BBC3AC" w:rsidR="009918B3" w:rsidRP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Deve però rilevarsi che si tratta di una concessione sui generis, dato che è destinata a esaurirsi in un arco di tempo molto limitato e che il concessionario non gode di larghi margini di libertà per organizzare il servizio.</w:t>
      </w:r>
    </w:p>
    <w:p w14:paraId="3CB13B89" w14:textId="77777777" w:rsidR="009918B3" w:rsidRDefault="009918B3" w:rsidP="009918B3">
      <w:pPr>
        <w:spacing w:after="0"/>
        <w:jc w:val="both"/>
        <w:rPr>
          <w:rFonts w:ascii="Times New Roman" w:hAnsi="Times New Roman" w:cs="Times New Roman"/>
          <w:sz w:val="24"/>
          <w:szCs w:val="24"/>
        </w:rPr>
      </w:pPr>
      <w:r w:rsidRPr="009918B3">
        <w:rPr>
          <w:rFonts w:ascii="Times New Roman" w:hAnsi="Times New Roman" w:cs="Times New Roman"/>
          <w:sz w:val="24"/>
          <w:szCs w:val="24"/>
        </w:rPr>
        <w:t>Tuttavia, poiché è indubbio che la parte pubblica non verserà all’aggiudicatario alcun corrispettivo per il servizio reso, e che il corrispettivo non è predeterminato, ma varia in dipendenza di elementi che l’aggiudicatario non può controllare (i.e. numero iscritti) e di cui assume il rischio, il contratto messo a gara non è un appalto, ma una concessione.</w:t>
      </w:r>
    </w:p>
    <w:p w14:paraId="7C1E4507" w14:textId="43B0116D" w:rsidR="004E1C9C" w:rsidRDefault="004E1C9C" w:rsidP="009918B3">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 </w:t>
      </w:r>
      <w:r w:rsidR="00B7133D">
        <w:rPr>
          <w:rFonts w:ascii="Times New Roman" w:hAnsi="Times New Roman" w:cs="Times New Roman"/>
          <w:sz w:val="24"/>
          <w:szCs w:val="24"/>
        </w:rPr>
        <w:t xml:space="preserve"> </w:t>
      </w:r>
    </w:p>
    <w:p w14:paraId="1C537127" w14:textId="16B61EC3" w:rsidR="00B7133D" w:rsidRPr="00B7133D" w:rsidRDefault="00B7133D" w:rsidP="009918B3">
      <w:pPr>
        <w:spacing w:after="0"/>
        <w:jc w:val="both"/>
        <w:rPr>
          <w:rFonts w:ascii="Times New Roman" w:hAnsi="Times New Roman" w:cs="Times New Roman"/>
          <w:b/>
          <w:bCs/>
          <w:sz w:val="24"/>
          <w:szCs w:val="24"/>
        </w:rPr>
      </w:pPr>
      <w:r w:rsidRPr="00B7133D">
        <w:rPr>
          <w:rFonts w:ascii="Times New Roman" w:hAnsi="Times New Roman" w:cs="Times New Roman"/>
          <w:b/>
          <w:bCs/>
          <w:sz w:val="24"/>
          <w:szCs w:val="24"/>
        </w:rPr>
        <w:t xml:space="preserve">Parere </w:t>
      </w:r>
      <w:proofErr w:type="spellStart"/>
      <w:r w:rsidRPr="00B7133D">
        <w:rPr>
          <w:rFonts w:ascii="Times New Roman" w:hAnsi="Times New Roman" w:cs="Times New Roman"/>
          <w:b/>
          <w:bCs/>
          <w:sz w:val="24"/>
          <w:szCs w:val="24"/>
        </w:rPr>
        <w:t>Mit</w:t>
      </w:r>
      <w:proofErr w:type="spellEnd"/>
      <w:r w:rsidRPr="00B7133D">
        <w:rPr>
          <w:rFonts w:ascii="Times New Roman" w:hAnsi="Times New Roman" w:cs="Times New Roman"/>
          <w:b/>
          <w:bCs/>
          <w:sz w:val="24"/>
          <w:szCs w:val="24"/>
        </w:rPr>
        <w:t>, 6.12.2024, n. 3161</w:t>
      </w:r>
    </w:p>
    <w:p w14:paraId="0A0FD4FA" w14:textId="6218DD21" w:rsidR="00B7133D" w:rsidRPr="00B7133D" w:rsidRDefault="00B7133D" w:rsidP="009918B3">
      <w:pPr>
        <w:spacing w:after="0"/>
        <w:jc w:val="both"/>
        <w:rPr>
          <w:rFonts w:ascii="Times New Roman" w:hAnsi="Times New Roman" w:cs="Times New Roman"/>
          <w:b/>
          <w:bCs/>
          <w:i/>
          <w:iCs/>
          <w:sz w:val="24"/>
          <w:szCs w:val="24"/>
        </w:rPr>
      </w:pPr>
      <w:r w:rsidRPr="00B7133D">
        <w:rPr>
          <w:rFonts w:ascii="Times New Roman" w:hAnsi="Times New Roman" w:cs="Times New Roman"/>
          <w:b/>
          <w:bCs/>
          <w:i/>
          <w:iCs/>
          <w:sz w:val="24"/>
          <w:szCs w:val="24"/>
        </w:rPr>
        <w:t>Sul valore della concessione</w:t>
      </w:r>
    </w:p>
    <w:p w14:paraId="75F347AF" w14:textId="77777777" w:rsidR="00B7133D" w:rsidRDefault="00B7133D" w:rsidP="00B7133D">
      <w:pPr>
        <w:jc w:val="both"/>
        <w:rPr>
          <w:rFonts w:ascii="Times New Roman" w:hAnsi="Times New Roman" w:cs="Times New Roman"/>
          <w:sz w:val="24"/>
          <w:szCs w:val="24"/>
        </w:rPr>
      </w:pPr>
      <w:r w:rsidRPr="00B7133D">
        <w:rPr>
          <w:rFonts w:ascii="Times New Roman" w:hAnsi="Times New Roman" w:cs="Times New Roman"/>
          <w:sz w:val="24"/>
          <w:szCs w:val="24"/>
        </w:rPr>
        <w:t>In caso di concessione avente ad oggetto il servizio di ristorazione scolastica, con riscossione diretta dei buoni pasto da parte del concessionario, e che preveda un investimento iniziale da parte della ditta per l'acquisto degli arredi destinati al centro cottura di proprietà dell'ente concedente, come si calcola il valore complessivo della concessione? Si precisa che al termine del contratto tali arredi diverranno di proprietà dell'ente concedente.</w:t>
      </w:r>
    </w:p>
    <w:p w14:paraId="169CAD9D" w14:textId="45AF75D1" w:rsidR="00B7133D" w:rsidRPr="00B7133D" w:rsidRDefault="00B7133D" w:rsidP="00B7133D">
      <w:pPr>
        <w:jc w:val="both"/>
        <w:rPr>
          <w:rFonts w:ascii="Times New Roman" w:hAnsi="Times New Roman" w:cs="Times New Roman"/>
          <w:sz w:val="24"/>
          <w:szCs w:val="24"/>
        </w:rPr>
      </w:pPr>
      <w:r>
        <w:rPr>
          <w:rFonts w:ascii="Times New Roman" w:hAnsi="Times New Roman" w:cs="Times New Roman"/>
          <w:sz w:val="24"/>
          <w:szCs w:val="24"/>
        </w:rPr>
        <w:t xml:space="preserve">Risposta: </w:t>
      </w:r>
      <w:r w:rsidRPr="00B7133D">
        <w:rPr>
          <w:rFonts w:ascii="Times New Roman" w:hAnsi="Times New Roman" w:cs="Times New Roman"/>
          <w:sz w:val="24"/>
          <w:szCs w:val="24"/>
        </w:rPr>
        <w:t xml:space="preserve">Si applica l'art. 179 del Codice dei contratti pubblici. Ai fini del valore stimato della procedura, sono da conteggiare </w:t>
      </w:r>
      <w:r w:rsidRPr="00847B1A">
        <w:rPr>
          <w:rFonts w:ascii="Times New Roman" w:hAnsi="Times New Roman" w:cs="Times New Roman"/>
          <w:b/>
          <w:bCs/>
          <w:sz w:val="24"/>
          <w:szCs w:val="24"/>
        </w:rPr>
        <w:t>i flussi di cassa in entrata</w:t>
      </w:r>
      <w:r w:rsidRPr="00B7133D">
        <w:rPr>
          <w:rFonts w:ascii="Times New Roman" w:hAnsi="Times New Roman" w:cs="Times New Roman"/>
          <w:sz w:val="24"/>
          <w:szCs w:val="24"/>
        </w:rPr>
        <w:t xml:space="preserve"> per il concessionario, </w:t>
      </w:r>
      <w:r w:rsidRPr="00847B1A">
        <w:rPr>
          <w:rFonts w:ascii="Times New Roman" w:hAnsi="Times New Roman" w:cs="Times New Roman"/>
          <w:b/>
          <w:bCs/>
          <w:sz w:val="24"/>
          <w:szCs w:val="24"/>
        </w:rPr>
        <w:t>non i flussi in uscita</w:t>
      </w:r>
      <w:r w:rsidRPr="00B7133D">
        <w:rPr>
          <w:rFonts w:ascii="Times New Roman" w:hAnsi="Times New Roman" w:cs="Times New Roman"/>
          <w:sz w:val="24"/>
          <w:szCs w:val="24"/>
        </w:rPr>
        <w:t xml:space="preserve">. Sui </w:t>
      </w:r>
      <w:r w:rsidRPr="00847B1A">
        <w:rPr>
          <w:rFonts w:ascii="Times New Roman" w:hAnsi="Times New Roman" w:cs="Times New Roman"/>
          <w:b/>
          <w:bCs/>
          <w:sz w:val="24"/>
          <w:szCs w:val="24"/>
        </w:rPr>
        <w:t>buoni pasto (flussi in entrata</w:t>
      </w:r>
      <w:r w:rsidRPr="00B7133D">
        <w:rPr>
          <w:rFonts w:ascii="Times New Roman" w:hAnsi="Times New Roman" w:cs="Times New Roman"/>
          <w:sz w:val="24"/>
          <w:szCs w:val="24"/>
        </w:rPr>
        <w:t xml:space="preserve">), andrà calcolata l'entrata attesa in corso di gestione, nel rispetto del Piano economico finanziario. </w:t>
      </w:r>
      <w:r w:rsidRPr="00847B1A">
        <w:rPr>
          <w:rFonts w:ascii="Times New Roman" w:hAnsi="Times New Roman" w:cs="Times New Roman"/>
          <w:b/>
          <w:bCs/>
          <w:sz w:val="24"/>
          <w:szCs w:val="24"/>
        </w:rPr>
        <w:t>Sui beni (flussi in uscita</w:t>
      </w:r>
      <w:r w:rsidRPr="00B7133D">
        <w:rPr>
          <w:rFonts w:ascii="Times New Roman" w:hAnsi="Times New Roman" w:cs="Times New Roman"/>
          <w:sz w:val="24"/>
          <w:szCs w:val="24"/>
        </w:rPr>
        <w:t xml:space="preserve">), deve essere conteggiato </w:t>
      </w:r>
      <w:r w:rsidRPr="00847B1A">
        <w:rPr>
          <w:rFonts w:ascii="Times New Roman" w:hAnsi="Times New Roman" w:cs="Times New Roman"/>
          <w:b/>
          <w:bCs/>
          <w:sz w:val="24"/>
          <w:szCs w:val="24"/>
        </w:rPr>
        <w:t xml:space="preserve">il valore stimato al termine della concessione </w:t>
      </w:r>
      <w:r w:rsidRPr="00B7133D">
        <w:rPr>
          <w:rFonts w:ascii="Times New Roman" w:hAnsi="Times New Roman" w:cs="Times New Roman"/>
          <w:sz w:val="24"/>
          <w:szCs w:val="24"/>
        </w:rPr>
        <w:t>(se non totalmente ammortati), ove sia previsto un pagamento diretto della stazione appaltante degli stessi; se invece i costi degli stessi sono considerato come completamente ammortati o coperti dai flussi di cassa in entrata della concessione, non rileveranno nel conteggio.</w:t>
      </w:r>
    </w:p>
    <w:p w14:paraId="5A96EB0A" w14:textId="15971F6D" w:rsidR="00B7133D" w:rsidRDefault="00B7133D" w:rsidP="009918B3">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sidR="0029508D">
        <w:rPr>
          <w:rFonts w:ascii="Times New Roman" w:hAnsi="Times New Roman" w:cs="Times New Roman"/>
          <w:sz w:val="24"/>
          <w:szCs w:val="24"/>
        </w:rPr>
        <w:t xml:space="preserve"> </w:t>
      </w:r>
    </w:p>
    <w:p w14:paraId="6EBDB58F" w14:textId="77777777" w:rsidR="0029508D" w:rsidRDefault="0029508D" w:rsidP="009918B3">
      <w:pPr>
        <w:spacing w:after="0"/>
        <w:jc w:val="both"/>
        <w:rPr>
          <w:rFonts w:ascii="Times New Roman" w:hAnsi="Times New Roman" w:cs="Times New Roman"/>
          <w:sz w:val="24"/>
          <w:szCs w:val="24"/>
        </w:rPr>
      </w:pPr>
    </w:p>
    <w:p w14:paraId="2816EEF9" w14:textId="77777777" w:rsidR="0029508D" w:rsidRDefault="0029508D" w:rsidP="0029508D">
      <w:pPr>
        <w:spacing w:after="0"/>
        <w:jc w:val="both"/>
        <w:rPr>
          <w:rFonts w:ascii="Times New Roman" w:hAnsi="Times New Roman" w:cs="Times New Roman"/>
          <w:sz w:val="24"/>
          <w:szCs w:val="24"/>
        </w:rPr>
      </w:pPr>
      <w:r w:rsidRPr="0029508D">
        <w:rPr>
          <w:rFonts w:ascii="Times New Roman" w:hAnsi="Times New Roman" w:cs="Times New Roman"/>
          <w:b/>
          <w:bCs/>
          <w:sz w:val="24"/>
          <w:szCs w:val="24"/>
        </w:rPr>
        <w:t>T.A.R. Emilia Romagna, Parma, 18 febbraio 2025, n. 66</w:t>
      </w:r>
      <w:r w:rsidRPr="0029508D">
        <w:rPr>
          <w:rFonts w:ascii="Times New Roman" w:hAnsi="Times New Roman" w:cs="Times New Roman"/>
          <w:sz w:val="24"/>
          <w:szCs w:val="24"/>
        </w:rPr>
        <w:t xml:space="preserve"> </w:t>
      </w:r>
    </w:p>
    <w:p w14:paraId="7935A453" w14:textId="64EC61B1" w:rsidR="0029508D" w:rsidRPr="0029508D" w:rsidRDefault="0029508D" w:rsidP="0029508D">
      <w:pPr>
        <w:spacing w:after="0"/>
        <w:jc w:val="both"/>
        <w:rPr>
          <w:rFonts w:ascii="Times New Roman" w:hAnsi="Times New Roman" w:cs="Times New Roman"/>
          <w:b/>
          <w:bCs/>
          <w:i/>
          <w:iCs/>
          <w:sz w:val="24"/>
          <w:szCs w:val="24"/>
        </w:rPr>
      </w:pPr>
      <w:r w:rsidRPr="0029508D">
        <w:rPr>
          <w:rFonts w:ascii="Times New Roman" w:hAnsi="Times New Roman" w:cs="Times New Roman"/>
          <w:b/>
          <w:bCs/>
          <w:i/>
          <w:iCs/>
          <w:sz w:val="24"/>
          <w:szCs w:val="24"/>
        </w:rPr>
        <w:t>Sull’applicazione dell’istituto della proroga ex art. 120 anche alle concessioni</w:t>
      </w:r>
    </w:p>
    <w:p w14:paraId="182A11D9" w14:textId="4767EE81" w:rsidR="0029508D" w:rsidRPr="0029508D" w:rsidRDefault="0029508D" w:rsidP="0029508D">
      <w:pPr>
        <w:spacing w:after="0"/>
        <w:jc w:val="both"/>
        <w:rPr>
          <w:rFonts w:ascii="Times New Roman" w:hAnsi="Times New Roman" w:cs="Times New Roman"/>
          <w:sz w:val="24"/>
          <w:szCs w:val="24"/>
        </w:rPr>
      </w:pPr>
      <w:r>
        <w:rPr>
          <w:rFonts w:ascii="Times New Roman" w:hAnsi="Times New Roman" w:cs="Times New Roman"/>
          <w:sz w:val="24"/>
          <w:szCs w:val="24"/>
        </w:rPr>
        <w:t>T</w:t>
      </w:r>
      <w:r w:rsidRPr="0029508D">
        <w:rPr>
          <w:rFonts w:ascii="Times New Roman" w:hAnsi="Times New Roman" w:cs="Times New Roman"/>
          <w:sz w:val="24"/>
          <w:szCs w:val="24"/>
        </w:rPr>
        <w:t xml:space="preserve">ale disposizione deve ritenersi </w:t>
      </w:r>
      <w:r w:rsidRPr="0029508D">
        <w:rPr>
          <w:rFonts w:ascii="Times New Roman" w:hAnsi="Times New Roman" w:cs="Times New Roman"/>
          <w:b/>
          <w:bCs/>
          <w:sz w:val="24"/>
          <w:szCs w:val="24"/>
        </w:rPr>
        <w:t>applicabile analogicamente alla disciplina delle concessioni</w:t>
      </w:r>
      <w:r w:rsidRPr="0029508D">
        <w:rPr>
          <w:rFonts w:ascii="Times New Roman" w:hAnsi="Times New Roman" w:cs="Times New Roman"/>
          <w:sz w:val="24"/>
          <w:szCs w:val="24"/>
        </w:rPr>
        <w:t>, tenuto conto della necessità di garantire, anche per tale tipologia contrattuale, la continuità del servizio (come anche della fornitura o dei lavori), nelle more dello svolgimento della nuova procedura di gara e dell’individuazione del nuovo operatore economico affidatario.</w:t>
      </w:r>
    </w:p>
    <w:p w14:paraId="20FB6B87" w14:textId="77777777" w:rsidR="0029508D" w:rsidRPr="0029508D" w:rsidRDefault="0029508D" w:rsidP="0029508D">
      <w:pPr>
        <w:spacing w:after="0"/>
        <w:jc w:val="both"/>
        <w:rPr>
          <w:rFonts w:ascii="Times New Roman" w:hAnsi="Times New Roman" w:cs="Times New Roman"/>
          <w:sz w:val="24"/>
          <w:szCs w:val="24"/>
        </w:rPr>
      </w:pPr>
    </w:p>
    <w:p w14:paraId="1B524CD3" w14:textId="6858EEA3" w:rsidR="0029508D" w:rsidRDefault="0029508D" w:rsidP="0029508D">
      <w:pPr>
        <w:spacing w:after="0"/>
        <w:jc w:val="both"/>
        <w:rPr>
          <w:rFonts w:ascii="Times New Roman" w:hAnsi="Times New Roman" w:cs="Times New Roman"/>
          <w:sz w:val="24"/>
          <w:szCs w:val="24"/>
        </w:rPr>
      </w:pPr>
      <w:r w:rsidRPr="0029508D">
        <w:rPr>
          <w:rFonts w:ascii="Times New Roman" w:hAnsi="Times New Roman" w:cs="Times New Roman"/>
          <w:sz w:val="24"/>
          <w:szCs w:val="24"/>
        </w:rPr>
        <w:t>La ratio della c.d. proroga tecnica è quella di consentire, in via eccezionale e temporanea, la continuità delle prestazioni oggetto del contratto in scadenza con l’Amministrazione, in attesa della instaurazione del nuovo rapporto contrattuale; tale esigenza, prevista per i contratti di appalto, deve ritenersi estensibile, in via analogica, anche alla disciplina delle concessioni, tanto più ove, come nel caso di specie, venga in rilievo la necessità di garantire la continuità di un servizio pubblico essenziale.</w:t>
      </w:r>
    </w:p>
    <w:p w14:paraId="5B561727" w14:textId="721A5BE4" w:rsidR="0029508D" w:rsidRDefault="0029508D" w:rsidP="0029508D">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
    <w:p w14:paraId="772B4401" w14:textId="77777777" w:rsidR="0029508D" w:rsidRDefault="0029508D" w:rsidP="009918B3">
      <w:pPr>
        <w:spacing w:after="0"/>
        <w:jc w:val="both"/>
        <w:rPr>
          <w:rFonts w:ascii="Times New Roman" w:hAnsi="Times New Roman" w:cs="Times New Roman"/>
          <w:sz w:val="24"/>
          <w:szCs w:val="24"/>
        </w:rPr>
      </w:pPr>
    </w:p>
    <w:p w14:paraId="1B634AD6" w14:textId="30006D28" w:rsidR="005252CF" w:rsidRPr="005252CF" w:rsidRDefault="005252CF" w:rsidP="009918B3">
      <w:pPr>
        <w:spacing w:after="0"/>
        <w:jc w:val="both"/>
        <w:rPr>
          <w:rFonts w:ascii="Times New Roman" w:hAnsi="Times New Roman" w:cs="Times New Roman"/>
          <w:b/>
          <w:bCs/>
          <w:sz w:val="24"/>
          <w:szCs w:val="24"/>
        </w:rPr>
      </w:pPr>
      <w:r w:rsidRPr="005252CF">
        <w:rPr>
          <w:rFonts w:ascii="Times New Roman" w:hAnsi="Times New Roman" w:cs="Times New Roman"/>
          <w:b/>
          <w:bCs/>
          <w:sz w:val="24"/>
          <w:szCs w:val="24"/>
        </w:rPr>
        <w:t xml:space="preserve">T.A.R. Puglia, Lecce, III, </w:t>
      </w:r>
      <w:proofErr w:type="spellStart"/>
      <w:r w:rsidRPr="005252CF">
        <w:rPr>
          <w:rFonts w:ascii="Times New Roman" w:hAnsi="Times New Roman" w:cs="Times New Roman"/>
          <w:b/>
          <w:bCs/>
          <w:sz w:val="24"/>
          <w:szCs w:val="24"/>
        </w:rPr>
        <w:t>ord</w:t>
      </w:r>
      <w:proofErr w:type="spellEnd"/>
      <w:r w:rsidRPr="005252CF">
        <w:rPr>
          <w:rFonts w:ascii="Times New Roman" w:hAnsi="Times New Roman" w:cs="Times New Roman"/>
          <w:b/>
          <w:bCs/>
          <w:sz w:val="24"/>
          <w:szCs w:val="24"/>
        </w:rPr>
        <w:t>. 27 febbraio 2025, n. 84</w:t>
      </w:r>
    </w:p>
    <w:p w14:paraId="5F80BA5E" w14:textId="3E3892C4" w:rsidR="004E1C9C" w:rsidRPr="005252CF" w:rsidRDefault="005252CF" w:rsidP="009918B3">
      <w:pPr>
        <w:spacing w:after="0"/>
        <w:jc w:val="both"/>
        <w:rPr>
          <w:rFonts w:ascii="Times New Roman" w:hAnsi="Times New Roman" w:cs="Times New Roman"/>
          <w:b/>
          <w:bCs/>
          <w:i/>
          <w:iCs/>
          <w:sz w:val="24"/>
          <w:szCs w:val="24"/>
        </w:rPr>
      </w:pPr>
      <w:r w:rsidRPr="005252CF">
        <w:rPr>
          <w:rFonts w:ascii="Times New Roman" w:hAnsi="Times New Roman" w:cs="Times New Roman"/>
          <w:b/>
          <w:bCs/>
          <w:i/>
          <w:iCs/>
          <w:sz w:val="24"/>
          <w:szCs w:val="24"/>
        </w:rPr>
        <w:t>Sull’affidamento della stagione teatrale ad associazioni culturali</w:t>
      </w:r>
    </w:p>
    <w:p w14:paraId="040D1199" w14:textId="556FE527" w:rsidR="005252CF" w:rsidRDefault="005252CF" w:rsidP="009918B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S</w:t>
      </w:r>
      <w:r w:rsidRPr="005252CF">
        <w:rPr>
          <w:rFonts w:ascii="Times New Roman" w:hAnsi="Times New Roman" w:cs="Times New Roman"/>
          <w:sz w:val="24"/>
          <w:szCs w:val="24"/>
        </w:rPr>
        <w:t xml:space="preserve">econdo il Collegio, non sembra trattarsi – nella specie – dell’affidamento, da parte della P.A., di </w:t>
      </w:r>
      <w:r w:rsidRPr="005252CF">
        <w:rPr>
          <w:rFonts w:ascii="Times New Roman" w:hAnsi="Times New Roman" w:cs="Times New Roman"/>
          <w:b/>
          <w:bCs/>
          <w:sz w:val="24"/>
          <w:szCs w:val="24"/>
        </w:rPr>
        <w:t>un appalto di servizi e nemmeno di una concessione</w:t>
      </w:r>
      <w:r w:rsidRPr="005252CF">
        <w:rPr>
          <w:rFonts w:ascii="Times New Roman" w:hAnsi="Times New Roman" w:cs="Times New Roman"/>
          <w:sz w:val="24"/>
          <w:szCs w:val="24"/>
        </w:rPr>
        <w:t xml:space="preserve">, </w:t>
      </w:r>
      <w:r w:rsidRPr="005252CF">
        <w:rPr>
          <w:rFonts w:ascii="Times New Roman" w:hAnsi="Times New Roman" w:cs="Times New Roman"/>
          <w:b/>
          <w:bCs/>
          <w:sz w:val="24"/>
          <w:szCs w:val="24"/>
        </w:rPr>
        <w:t>bensì dell’affidamento di un’attività di carattere culturale</w:t>
      </w:r>
      <w:r w:rsidRPr="005252CF">
        <w:rPr>
          <w:rFonts w:ascii="Times New Roman" w:hAnsi="Times New Roman" w:cs="Times New Roman"/>
          <w:sz w:val="24"/>
          <w:szCs w:val="24"/>
        </w:rPr>
        <w:t xml:space="preserve"> (</w:t>
      </w:r>
      <w:r w:rsidRPr="005252CF">
        <w:rPr>
          <w:rFonts w:ascii="Times New Roman" w:hAnsi="Times New Roman" w:cs="Times New Roman"/>
          <w:sz w:val="24"/>
          <w:szCs w:val="24"/>
          <w:u w:val="single"/>
        </w:rPr>
        <w:t>con incassi degli spettacoli spettanti per intero al soggetto proponente e in assenza di oneri economici a carico dell’Amministrazione Comunale</w:t>
      </w:r>
      <w:r w:rsidRPr="005252CF">
        <w:rPr>
          <w:rFonts w:ascii="Times New Roman" w:hAnsi="Times New Roman" w:cs="Times New Roman"/>
          <w:sz w:val="24"/>
          <w:szCs w:val="24"/>
        </w:rPr>
        <w:t>), sicché appare infondato il motivo di ricorso incentrato sulla dedotta violazione per omessa applicazione del D. Lgs. n. 36/2023″</w:t>
      </w:r>
      <w:r w:rsidR="00DB3207">
        <w:rPr>
          <w:rFonts w:ascii="Times New Roman" w:hAnsi="Times New Roman" w:cs="Times New Roman"/>
          <w:sz w:val="24"/>
          <w:szCs w:val="24"/>
        </w:rPr>
        <w:t>.</w:t>
      </w:r>
    </w:p>
    <w:p w14:paraId="2EF3DDAD" w14:textId="5D49EA9F" w:rsidR="00DB3207" w:rsidRDefault="00DB3207" w:rsidP="009918B3">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p>
    <w:p w14:paraId="51D542C3" w14:textId="7008D873" w:rsidR="00DB3207" w:rsidRPr="006E3E49" w:rsidRDefault="006E3E49" w:rsidP="009918B3">
      <w:pPr>
        <w:spacing w:after="0"/>
        <w:jc w:val="both"/>
        <w:rPr>
          <w:rFonts w:ascii="Times New Roman" w:hAnsi="Times New Roman" w:cs="Times New Roman"/>
          <w:b/>
          <w:bCs/>
          <w:sz w:val="24"/>
          <w:szCs w:val="24"/>
        </w:rPr>
      </w:pPr>
      <w:r w:rsidRPr="006E3E49">
        <w:rPr>
          <w:rFonts w:ascii="Times New Roman" w:hAnsi="Times New Roman" w:cs="Times New Roman"/>
          <w:b/>
          <w:bCs/>
          <w:sz w:val="24"/>
          <w:szCs w:val="24"/>
        </w:rPr>
        <w:t>T.A.R. Liguria, I, 25 febbraio 2025, n. 203</w:t>
      </w:r>
    </w:p>
    <w:p w14:paraId="2EA91F82" w14:textId="2DFB9C58" w:rsidR="00DB3207" w:rsidRPr="00DB3207" w:rsidRDefault="00DB3207" w:rsidP="00DB3207">
      <w:pPr>
        <w:spacing w:after="0"/>
        <w:jc w:val="both"/>
        <w:rPr>
          <w:rFonts w:ascii="Times New Roman" w:hAnsi="Times New Roman" w:cs="Times New Roman"/>
          <w:b/>
          <w:bCs/>
          <w:sz w:val="24"/>
          <w:szCs w:val="24"/>
        </w:rPr>
      </w:pPr>
      <w:r w:rsidRPr="00DB3207">
        <w:rPr>
          <w:rFonts w:ascii="Times New Roman" w:hAnsi="Times New Roman" w:cs="Times New Roman"/>
          <w:b/>
          <w:bCs/>
          <w:sz w:val="24"/>
          <w:szCs w:val="24"/>
        </w:rPr>
        <w:t>Sull’affidamento di un porto turistico (bene demaniale) mediante project financing</w:t>
      </w:r>
    </w:p>
    <w:p w14:paraId="5338AEF6" w14:textId="47FF77F0" w:rsidR="00DB3207" w:rsidRPr="00DB3207" w:rsidRDefault="00DB3207" w:rsidP="00DB3207">
      <w:pPr>
        <w:spacing w:after="0"/>
        <w:jc w:val="both"/>
        <w:rPr>
          <w:rFonts w:ascii="Times New Roman" w:hAnsi="Times New Roman" w:cs="Times New Roman"/>
          <w:sz w:val="24"/>
          <w:szCs w:val="24"/>
          <w:u w:val="single"/>
        </w:rPr>
      </w:pPr>
      <w:r w:rsidRPr="006E3E49">
        <w:rPr>
          <w:rFonts w:ascii="Times New Roman" w:hAnsi="Times New Roman" w:cs="Times New Roman"/>
          <w:sz w:val="24"/>
          <w:szCs w:val="24"/>
        </w:rPr>
        <w:t>I</w:t>
      </w:r>
      <w:r w:rsidRPr="00DB3207">
        <w:rPr>
          <w:rFonts w:ascii="Times New Roman" w:hAnsi="Times New Roman" w:cs="Times New Roman"/>
          <w:sz w:val="24"/>
          <w:szCs w:val="24"/>
        </w:rPr>
        <w:t xml:space="preserve">l Comune ha correttamente fatto ricorso al </w:t>
      </w:r>
      <w:r w:rsidRPr="00DB3207">
        <w:rPr>
          <w:rFonts w:ascii="Times New Roman" w:hAnsi="Times New Roman" w:cs="Times New Roman"/>
          <w:b/>
          <w:bCs/>
          <w:sz w:val="24"/>
          <w:szCs w:val="24"/>
        </w:rPr>
        <w:t xml:space="preserve">project financing per l’affidamento in concessione e gestione del Porto turistico </w:t>
      </w:r>
      <w:r w:rsidRPr="00DB3207">
        <w:rPr>
          <w:rFonts w:ascii="Times New Roman" w:hAnsi="Times New Roman" w:cs="Times New Roman"/>
          <w:sz w:val="24"/>
          <w:szCs w:val="24"/>
        </w:rPr>
        <w:t xml:space="preserve">atteso che tale istituto può essere utilizzato quando all’affidamento del bene preveda </w:t>
      </w:r>
      <w:r w:rsidRPr="00DB3207">
        <w:rPr>
          <w:rFonts w:ascii="Times New Roman" w:hAnsi="Times New Roman" w:cs="Times New Roman"/>
          <w:b/>
          <w:bCs/>
          <w:sz w:val="24"/>
          <w:szCs w:val="24"/>
        </w:rPr>
        <w:t>anche la gestione dello stesso, con effettuazione di lavori di valorizzazione e/o dei servizi connessi allo sfruttamento del bene</w:t>
      </w:r>
      <w:r w:rsidRPr="00DB3207">
        <w:rPr>
          <w:rFonts w:ascii="Times New Roman" w:hAnsi="Times New Roman" w:cs="Times New Roman"/>
          <w:sz w:val="24"/>
          <w:szCs w:val="24"/>
        </w:rPr>
        <w:t xml:space="preserve">, configurandosi in tali ipotesi una </w:t>
      </w:r>
      <w:r w:rsidRPr="00DB3207">
        <w:rPr>
          <w:rFonts w:ascii="Times New Roman" w:hAnsi="Times New Roman" w:cs="Times New Roman"/>
          <w:b/>
          <w:bCs/>
          <w:sz w:val="24"/>
          <w:szCs w:val="24"/>
        </w:rPr>
        <w:t>concessione di lavori e/o di servizi soggetta</w:t>
      </w:r>
      <w:r w:rsidRPr="00DB3207">
        <w:rPr>
          <w:rFonts w:ascii="Times New Roman" w:hAnsi="Times New Roman" w:cs="Times New Roman"/>
          <w:sz w:val="24"/>
          <w:szCs w:val="24"/>
        </w:rPr>
        <w:t xml:space="preserve"> alla disciplina della Direttiva 23/2014/UE </w:t>
      </w:r>
      <w:r w:rsidRPr="00DB3207">
        <w:rPr>
          <w:rFonts w:ascii="Times New Roman" w:hAnsi="Times New Roman" w:cs="Times New Roman"/>
          <w:sz w:val="24"/>
          <w:szCs w:val="24"/>
          <w:u w:val="single"/>
        </w:rPr>
        <w:t>e, quindi, suscettibile di assegnazione mediante project financing.</w:t>
      </w:r>
    </w:p>
    <w:p w14:paraId="409D0569" w14:textId="77777777" w:rsidR="00DB3207" w:rsidRPr="00DB3207" w:rsidRDefault="00DB3207" w:rsidP="00DB3207">
      <w:pPr>
        <w:spacing w:after="0"/>
        <w:jc w:val="both"/>
        <w:rPr>
          <w:rFonts w:ascii="Times New Roman" w:hAnsi="Times New Roman" w:cs="Times New Roman"/>
          <w:sz w:val="24"/>
          <w:szCs w:val="24"/>
        </w:rPr>
      </w:pPr>
      <w:r w:rsidRPr="00DB3207">
        <w:rPr>
          <w:rFonts w:ascii="Times New Roman" w:hAnsi="Times New Roman" w:cs="Times New Roman"/>
          <w:sz w:val="24"/>
          <w:szCs w:val="24"/>
        </w:rPr>
        <w:t xml:space="preserve">Ebbene per i porti turistici la tipologia di concessione utilizzata è quella di lavori e servizi in quanto essa “si caratterizza per il fatto che, accanto alla concessione di beni demaniali marittimi, impone la </w:t>
      </w:r>
      <w:r w:rsidRPr="00DB3207">
        <w:rPr>
          <w:rFonts w:ascii="Times New Roman" w:hAnsi="Times New Roman" w:cs="Times New Roman"/>
          <w:b/>
          <w:bCs/>
          <w:sz w:val="24"/>
          <w:szCs w:val="24"/>
        </w:rPr>
        <w:t>prestazione di servizi funzionali</w:t>
      </w:r>
      <w:r w:rsidRPr="00DB3207">
        <w:rPr>
          <w:rFonts w:ascii="Times New Roman" w:hAnsi="Times New Roman" w:cs="Times New Roman"/>
          <w:sz w:val="24"/>
          <w:szCs w:val="24"/>
        </w:rPr>
        <w:t xml:space="preserve"> all’esercizio della nautica da diporto (ormeggio, disormeggio, alaggio, varo, etc.). Si tratta, quindi, di una figura complessa e peculiare (sebbene non isolata, potendo talvolta la concessione di un bene pubblico risultare servente alla prestazione di un servizio al pubblico: cfr., ex </w:t>
      </w:r>
      <w:proofErr w:type="spellStart"/>
      <w:r w:rsidRPr="00DB3207">
        <w:rPr>
          <w:rFonts w:ascii="Times New Roman" w:hAnsi="Times New Roman" w:cs="Times New Roman"/>
          <w:sz w:val="24"/>
          <w:szCs w:val="24"/>
        </w:rPr>
        <w:t>aliis</w:t>
      </w:r>
      <w:proofErr w:type="spellEnd"/>
      <w:r w:rsidRPr="00DB3207">
        <w:rPr>
          <w:rFonts w:ascii="Times New Roman" w:hAnsi="Times New Roman" w:cs="Times New Roman"/>
          <w:sz w:val="24"/>
          <w:szCs w:val="24"/>
        </w:rPr>
        <w:t xml:space="preserve">, T.A.R. Lazio, Roma, sez. II-bis, 13 giugno 2017, n. 6985), </w:t>
      </w:r>
      <w:r w:rsidRPr="00DB3207">
        <w:rPr>
          <w:rFonts w:ascii="Times New Roman" w:hAnsi="Times New Roman" w:cs="Times New Roman"/>
          <w:b/>
          <w:bCs/>
          <w:sz w:val="24"/>
          <w:szCs w:val="24"/>
        </w:rPr>
        <w:t>nella quale profili in tema di concessione di beni pubblici coesistono con aspetti attinenti all’affidamento di servizi pubblici</w:t>
      </w:r>
      <w:r w:rsidRPr="00DB3207">
        <w:rPr>
          <w:rFonts w:ascii="Times New Roman" w:hAnsi="Times New Roman" w:cs="Times New Roman"/>
          <w:sz w:val="24"/>
          <w:szCs w:val="24"/>
        </w:rPr>
        <w:t>” (TAR Liguria n. 946 del 2021).</w:t>
      </w:r>
    </w:p>
    <w:p w14:paraId="62E55227" w14:textId="77777777" w:rsidR="00DB3207" w:rsidRDefault="00DB3207" w:rsidP="00DB3207">
      <w:pPr>
        <w:spacing w:after="0"/>
        <w:jc w:val="both"/>
        <w:rPr>
          <w:rFonts w:ascii="Times New Roman" w:hAnsi="Times New Roman" w:cs="Times New Roman"/>
          <w:sz w:val="24"/>
          <w:szCs w:val="24"/>
        </w:rPr>
      </w:pPr>
      <w:r w:rsidRPr="00DB3207">
        <w:rPr>
          <w:rFonts w:ascii="Times New Roman" w:hAnsi="Times New Roman" w:cs="Times New Roman"/>
          <w:sz w:val="24"/>
          <w:szCs w:val="24"/>
        </w:rPr>
        <w:t xml:space="preserve">In secondo luogo il Comune è titolare del potere di affidamento della concessione del Porto turistico anche perché l’art. 10 LR Liguria n. 13/1999 e </w:t>
      </w:r>
      <w:proofErr w:type="spellStart"/>
      <w:r w:rsidRPr="00DB3207">
        <w:rPr>
          <w:rFonts w:ascii="Times New Roman" w:hAnsi="Times New Roman" w:cs="Times New Roman"/>
          <w:sz w:val="24"/>
          <w:szCs w:val="24"/>
        </w:rPr>
        <w:t>s.m.i.</w:t>
      </w:r>
      <w:proofErr w:type="spellEnd"/>
      <w:r w:rsidRPr="00DB3207">
        <w:rPr>
          <w:rFonts w:ascii="Times New Roman" w:hAnsi="Times New Roman" w:cs="Times New Roman"/>
          <w:sz w:val="24"/>
          <w:szCs w:val="24"/>
        </w:rPr>
        <w:t xml:space="preserve"> stabilisce che “sono di competenza dei Comuni le funzioni relative … al rilascio e rinnovo delle concessioni di beni del demanio marittimo in ambito portuale”.</w:t>
      </w:r>
    </w:p>
    <w:p w14:paraId="1850F533" w14:textId="6EC64985" w:rsidR="00DB3207" w:rsidRPr="00DB3207" w:rsidRDefault="00DB3207" w:rsidP="00DB3207">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w:t>
      </w:r>
    </w:p>
    <w:p w14:paraId="2754CBBF" w14:textId="77777777" w:rsidR="00DB3207" w:rsidRDefault="00DB3207" w:rsidP="009918B3">
      <w:pPr>
        <w:spacing w:after="0"/>
        <w:jc w:val="both"/>
        <w:rPr>
          <w:rFonts w:ascii="Times New Roman" w:hAnsi="Times New Roman" w:cs="Times New Roman"/>
          <w:sz w:val="24"/>
          <w:szCs w:val="24"/>
        </w:rPr>
      </w:pPr>
    </w:p>
    <w:p w14:paraId="259A4CE8" w14:textId="77777777" w:rsidR="00656217" w:rsidRDefault="00656217" w:rsidP="009918B3">
      <w:pPr>
        <w:spacing w:after="0"/>
        <w:jc w:val="both"/>
        <w:rPr>
          <w:rFonts w:ascii="Times New Roman" w:hAnsi="Times New Roman" w:cs="Times New Roman"/>
          <w:b/>
          <w:bCs/>
          <w:sz w:val="24"/>
          <w:szCs w:val="24"/>
        </w:rPr>
      </w:pPr>
    </w:p>
    <w:p w14:paraId="300DF4B4" w14:textId="029FCA52" w:rsidR="00656217" w:rsidRPr="00656217" w:rsidRDefault="00656217" w:rsidP="00656217">
      <w:pPr>
        <w:spacing w:after="0"/>
        <w:jc w:val="center"/>
        <w:rPr>
          <w:rFonts w:ascii="Times New Roman" w:hAnsi="Times New Roman" w:cs="Times New Roman"/>
          <w:b/>
          <w:bCs/>
          <w:sz w:val="28"/>
          <w:szCs w:val="28"/>
        </w:rPr>
      </w:pPr>
      <w:r w:rsidRPr="00656217">
        <w:rPr>
          <w:rFonts w:ascii="Times New Roman" w:hAnsi="Times New Roman" w:cs="Times New Roman"/>
          <w:b/>
          <w:bCs/>
          <w:sz w:val="28"/>
          <w:szCs w:val="28"/>
          <w:highlight w:val="yellow"/>
        </w:rPr>
        <w:t>VARIE</w:t>
      </w:r>
    </w:p>
    <w:p w14:paraId="749C13C0" w14:textId="25158C52" w:rsidR="00656217" w:rsidRDefault="007F57CD" w:rsidP="009918B3">
      <w:pPr>
        <w:spacing w:after="0"/>
        <w:jc w:val="both"/>
        <w:rPr>
          <w:rFonts w:ascii="Times New Roman" w:hAnsi="Times New Roman" w:cs="Times New Roman"/>
          <w:b/>
          <w:bCs/>
          <w:sz w:val="24"/>
          <w:szCs w:val="24"/>
        </w:rPr>
      </w:pPr>
      <w:r>
        <w:rPr>
          <w:rFonts w:ascii="Times New Roman" w:hAnsi="Times New Roman" w:cs="Times New Roman"/>
          <w:b/>
          <w:bCs/>
          <w:sz w:val="24"/>
          <w:szCs w:val="24"/>
        </w:rPr>
        <w:t>Tar Puglia, Lecce, Sez. 19.03.2025, n. 434</w:t>
      </w:r>
    </w:p>
    <w:p w14:paraId="4F7C5D0B" w14:textId="77777777" w:rsidR="007F57CD" w:rsidRPr="007F57CD" w:rsidRDefault="007F57CD" w:rsidP="007F57CD">
      <w:pPr>
        <w:spacing w:after="0"/>
        <w:jc w:val="both"/>
        <w:rPr>
          <w:rFonts w:ascii="Times New Roman" w:hAnsi="Times New Roman" w:cs="Times New Roman"/>
          <w:b/>
          <w:bCs/>
          <w:sz w:val="24"/>
          <w:szCs w:val="24"/>
        </w:rPr>
      </w:pPr>
      <w:r w:rsidRPr="007F57CD">
        <w:rPr>
          <w:rFonts w:ascii="Times New Roman" w:hAnsi="Times New Roman" w:cs="Times New Roman"/>
          <w:b/>
          <w:bCs/>
          <w:sz w:val="24"/>
          <w:szCs w:val="24"/>
        </w:rPr>
        <w:t xml:space="preserve">Cons. Stato, V, 19 novembre 2024, </w:t>
      </w:r>
      <w:proofErr w:type="spellStart"/>
      <w:r w:rsidRPr="007F57CD">
        <w:rPr>
          <w:rFonts w:ascii="Times New Roman" w:hAnsi="Times New Roman" w:cs="Times New Roman"/>
          <w:b/>
          <w:bCs/>
          <w:sz w:val="24"/>
          <w:szCs w:val="24"/>
        </w:rPr>
        <w:t>nn</w:t>
      </w:r>
      <w:proofErr w:type="spellEnd"/>
      <w:r w:rsidRPr="007F57CD">
        <w:rPr>
          <w:rFonts w:ascii="Times New Roman" w:hAnsi="Times New Roman" w:cs="Times New Roman"/>
          <w:b/>
          <w:bCs/>
          <w:sz w:val="24"/>
          <w:szCs w:val="24"/>
        </w:rPr>
        <w:t>. 9254 e 9255</w:t>
      </w:r>
    </w:p>
    <w:p w14:paraId="439F4BF1" w14:textId="77777777" w:rsidR="007F57CD" w:rsidRPr="007F57CD" w:rsidRDefault="007F57CD" w:rsidP="007F57CD">
      <w:pPr>
        <w:spacing w:after="0"/>
        <w:jc w:val="both"/>
        <w:rPr>
          <w:rFonts w:ascii="Times New Roman" w:hAnsi="Times New Roman" w:cs="Times New Roman"/>
          <w:b/>
          <w:bCs/>
          <w:i/>
          <w:iCs/>
          <w:sz w:val="24"/>
          <w:szCs w:val="24"/>
        </w:rPr>
      </w:pPr>
      <w:r w:rsidRPr="007F57CD">
        <w:rPr>
          <w:rFonts w:ascii="Times New Roman" w:hAnsi="Times New Roman" w:cs="Times New Roman"/>
          <w:b/>
          <w:bCs/>
          <w:i/>
          <w:iCs/>
          <w:sz w:val="24"/>
          <w:szCs w:val="24"/>
        </w:rPr>
        <w:t xml:space="preserve">Sull’interpretazione dell’art. 41, comma 14 </w:t>
      </w:r>
    </w:p>
    <w:p w14:paraId="601E708D" w14:textId="205DA568" w:rsidR="007F57CD" w:rsidRPr="007F57CD" w:rsidRDefault="007F57CD" w:rsidP="007F57CD">
      <w:pPr>
        <w:spacing w:after="0"/>
        <w:jc w:val="both"/>
        <w:rPr>
          <w:rFonts w:ascii="Times New Roman" w:hAnsi="Times New Roman" w:cs="Times New Roman"/>
          <w:sz w:val="24"/>
          <w:szCs w:val="24"/>
        </w:rPr>
      </w:pPr>
      <w:r w:rsidRPr="007F57CD">
        <w:rPr>
          <w:rFonts w:ascii="Times New Roman" w:hAnsi="Times New Roman" w:cs="Times New Roman"/>
          <w:sz w:val="24"/>
          <w:szCs w:val="24"/>
        </w:rPr>
        <w:t>Ciò chiarito, con riguardo al caso di specie, il Collegio non ravvisa un vero e proprio contrasto giurisprudenziale sul punto come invece paventato dalla stessa parte ricorrente nei suoi atti difensivi posto che anche le pronunce</w:t>
      </w:r>
      <w:r w:rsidRPr="007F57CD">
        <w:rPr>
          <w:rFonts w:ascii="Times New Roman" w:hAnsi="Times New Roman" w:cs="Times New Roman"/>
          <w:i/>
          <w:iCs/>
          <w:sz w:val="24"/>
          <w:szCs w:val="24"/>
        </w:rPr>
        <w:t> ivi</w:t>
      </w:r>
      <w:r w:rsidRPr="007F57CD">
        <w:rPr>
          <w:rFonts w:ascii="Times New Roman" w:hAnsi="Times New Roman" w:cs="Times New Roman"/>
          <w:sz w:val="24"/>
          <w:szCs w:val="24"/>
        </w:rPr>
        <w:t> citate specificano che “</w:t>
      </w:r>
      <w:r w:rsidRPr="007F57CD">
        <w:rPr>
          <w:rFonts w:ascii="Times New Roman" w:hAnsi="Times New Roman" w:cs="Times New Roman"/>
          <w:i/>
          <w:iCs/>
          <w:sz w:val="24"/>
          <w:szCs w:val="24"/>
        </w:rPr>
        <w:t>la disposizione normativa sopra trascritta (</w:t>
      </w:r>
      <w:proofErr w:type="spellStart"/>
      <w:r w:rsidRPr="007F57CD">
        <w:rPr>
          <w:rFonts w:ascii="Times New Roman" w:hAnsi="Times New Roman" w:cs="Times New Roman"/>
          <w:i/>
          <w:iCs/>
          <w:sz w:val="24"/>
          <w:szCs w:val="24"/>
        </w:rPr>
        <w:t>rectius</w:t>
      </w:r>
      <w:proofErr w:type="spellEnd"/>
      <w:r w:rsidRPr="007F57CD">
        <w:rPr>
          <w:rFonts w:ascii="Times New Roman" w:hAnsi="Times New Roman" w:cs="Times New Roman"/>
          <w:i/>
          <w:iCs/>
          <w:sz w:val="24"/>
          <w:szCs w:val="24"/>
        </w:rPr>
        <w:t>,</w:t>
      </w:r>
      <w:r w:rsidRPr="007F57CD">
        <w:rPr>
          <w:rFonts w:ascii="Times New Roman" w:hAnsi="Times New Roman" w:cs="Times New Roman"/>
          <w:sz w:val="24"/>
          <w:szCs w:val="24"/>
        </w:rPr>
        <w:t> l’art. 41, comma 14, del d.lgs. n. 36 cit.) </w:t>
      </w:r>
      <w:r w:rsidRPr="007F57CD">
        <w:rPr>
          <w:rFonts w:ascii="Times New Roman" w:hAnsi="Times New Roman" w:cs="Times New Roman"/>
          <w:i/>
          <w:iCs/>
          <w:sz w:val="24"/>
          <w:szCs w:val="24"/>
        </w:rPr>
        <w:t xml:space="preserve">contiene il riferimento a </w:t>
      </w:r>
      <w:r w:rsidRPr="007F57CD">
        <w:rPr>
          <w:rFonts w:ascii="Times New Roman" w:hAnsi="Times New Roman" w:cs="Times New Roman"/>
          <w:b/>
          <w:bCs/>
          <w:i/>
          <w:iCs/>
          <w:sz w:val="24"/>
          <w:szCs w:val="24"/>
        </w:rPr>
        <w:t>due concetti distinti</w:t>
      </w:r>
      <w:r w:rsidRPr="007F57CD">
        <w:rPr>
          <w:rFonts w:ascii="Times New Roman" w:hAnsi="Times New Roman" w:cs="Times New Roman"/>
          <w:i/>
          <w:iCs/>
          <w:sz w:val="24"/>
          <w:szCs w:val="24"/>
        </w:rPr>
        <w:t xml:space="preserve"> e, come si vedrà, </w:t>
      </w:r>
      <w:r w:rsidRPr="007F57CD">
        <w:rPr>
          <w:rFonts w:ascii="Times New Roman" w:hAnsi="Times New Roman" w:cs="Times New Roman"/>
          <w:b/>
          <w:bCs/>
          <w:i/>
          <w:iCs/>
          <w:sz w:val="24"/>
          <w:szCs w:val="24"/>
        </w:rPr>
        <w:t>non sono sovrapponibili</w:t>
      </w:r>
      <w:r w:rsidRPr="007F57CD">
        <w:rPr>
          <w:rFonts w:ascii="Times New Roman" w:hAnsi="Times New Roman" w:cs="Times New Roman"/>
          <w:i/>
          <w:iCs/>
          <w:sz w:val="24"/>
          <w:szCs w:val="24"/>
        </w:rPr>
        <w:t xml:space="preserve"> ovvero “</w:t>
      </w:r>
      <w:r w:rsidRPr="007F57CD">
        <w:rPr>
          <w:rFonts w:ascii="Times New Roman" w:hAnsi="Times New Roman" w:cs="Times New Roman"/>
          <w:b/>
          <w:bCs/>
          <w:i/>
          <w:iCs/>
          <w:sz w:val="24"/>
          <w:szCs w:val="24"/>
        </w:rPr>
        <w:t>l’importo posto a base di gara”</w:t>
      </w:r>
      <w:r w:rsidRPr="007F57CD">
        <w:rPr>
          <w:rFonts w:ascii="Times New Roman" w:hAnsi="Times New Roman" w:cs="Times New Roman"/>
          <w:i/>
          <w:iCs/>
          <w:sz w:val="24"/>
          <w:szCs w:val="24"/>
        </w:rPr>
        <w:t xml:space="preserve">, nell’individuare il quale la stazione appaltante deve prevedere anche il cd. costo della manodopera, e </w:t>
      </w:r>
      <w:r w:rsidRPr="007F57CD">
        <w:rPr>
          <w:rFonts w:ascii="Times New Roman" w:hAnsi="Times New Roman" w:cs="Times New Roman"/>
          <w:b/>
          <w:bCs/>
          <w:i/>
          <w:iCs/>
          <w:sz w:val="24"/>
          <w:szCs w:val="24"/>
        </w:rPr>
        <w:t>l’“importo assoggettato al ribasso</w:t>
      </w:r>
      <w:r w:rsidRPr="007F57CD">
        <w:rPr>
          <w:rFonts w:ascii="Times New Roman" w:hAnsi="Times New Roman" w:cs="Times New Roman"/>
          <w:i/>
          <w:iCs/>
          <w:sz w:val="24"/>
          <w:szCs w:val="24"/>
        </w:rPr>
        <w:t>” dal quale, invece, “i costi della manodopera”, devono essere scorporati.</w:t>
      </w:r>
    </w:p>
    <w:p w14:paraId="0AD0B076" w14:textId="77777777" w:rsidR="007F57CD" w:rsidRPr="007F57CD" w:rsidRDefault="007F57CD" w:rsidP="007F57CD">
      <w:pPr>
        <w:spacing w:after="0"/>
        <w:jc w:val="both"/>
        <w:rPr>
          <w:rFonts w:ascii="Times New Roman" w:hAnsi="Times New Roman" w:cs="Times New Roman"/>
          <w:sz w:val="24"/>
          <w:szCs w:val="24"/>
        </w:rPr>
      </w:pPr>
      <w:r w:rsidRPr="007F57CD">
        <w:rPr>
          <w:rFonts w:ascii="Times New Roman" w:hAnsi="Times New Roman" w:cs="Times New Roman"/>
          <w:sz w:val="24"/>
          <w:szCs w:val="24"/>
        </w:rPr>
        <w:t xml:space="preserve">11.17. </w:t>
      </w:r>
      <w:r w:rsidRPr="007F57CD">
        <w:rPr>
          <w:rFonts w:ascii="Times New Roman" w:hAnsi="Times New Roman" w:cs="Times New Roman"/>
          <w:b/>
          <w:bCs/>
          <w:sz w:val="24"/>
          <w:szCs w:val="24"/>
        </w:rPr>
        <w:t>Tale previsione normativa vieta, quindi, che i costi della manodopera, pur rientrando nel più generale </w:t>
      </w:r>
      <w:r w:rsidRPr="007F57CD">
        <w:rPr>
          <w:rFonts w:ascii="Times New Roman" w:hAnsi="Times New Roman" w:cs="Times New Roman"/>
          <w:b/>
          <w:bCs/>
          <w:i/>
          <w:iCs/>
          <w:sz w:val="24"/>
          <w:szCs w:val="24"/>
        </w:rPr>
        <w:t>“importo posto a base di asta”</w:t>
      </w:r>
      <w:r w:rsidRPr="007F57CD">
        <w:rPr>
          <w:rFonts w:ascii="Times New Roman" w:hAnsi="Times New Roman" w:cs="Times New Roman"/>
          <w:b/>
          <w:bCs/>
          <w:sz w:val="24"/>
          <w:szCs w:val="24"/>
        </w:rPr>
        <w:t>, siano inclusi nel c.d. importo assoggettato al ribasso ovvero nell’importo sul quale dovrà essere applicato il ribasso percentuale offerto dal concorrente</w:t>
      </w:r>
      <w:r w:rsidRPr="007F57CD">
        <w:rPr>
          <w:rFonts w:ascii="Times New Roman" w:hAnsi="Times New Roman" w:cs="Times New Roman"/>
          <w:sz w:val="24"/>
          <w:szCs w:val="24"/>
        </w:rPr>
        <w:t xml:space="preserve"> e ciò all’evidente fine di non sottostimare le retribuzioni da erogare ai lavoratori </w:t>
      </w:r>
      <w:r w:rsidRPr="007F57CD">
        <w:rPr>
          <w:rFonts w:ascii="Times New Roman" w:hAnsi="Times New Roman" w:cs="Times New Roman"/>
          <w:i/>
          <w:iCs/>
          <w:sz w:val="24"/>
          <w:szCs w:val="24"/>
        </w:rPr>
        <w:t>“applicati”</w:t>
      </w:r>
      <w:r w:rsidRPr="007F57CD">
        <w:rPr>
          <w:rFonts w:ascii="Times New Roman" w:hAnsi="Times New Roman" w:cs="Times New Roman"/>
          <w:sz w:val="24"/>
          <w:szCs w:val="24"/>
        </w:rPr>
        <w:t> nell’esecuzione delle commesse pubbliche.</w:t>
      </w:r>
    </w:p>
    <w:p w14:paraId="030E4D2D" w14:textId="77777777" w:rsidR="007F57CD" w:rsidRPr="007F57CD" w:rsidRDefault="007F57CD" w:rsidP="007F57CD">
      <w:pPr>
        <w:spacing w:after="0"/>
        <w:jc w:val="both"/>
        <w:rPr>
          <w:rFonts w:ascii="Times New Roman" w:hAnsi="Times New Roman" w:cs="Times New Roman"/>
          <w:b/>
          <w:bCs/>
          <w:sz w:val="24"/>
          <w:szCs w:val="24"/>
        </w:rPr>
      </w:pPr>
      <w:r w:rsidRPr="007F57CD">
        <w:rPr>
          <w:rFonts w:ascii="Times New Roman" w:hAnsi="Times New Roman" w:cs="Times New Roman"/>
          <w:sz w:val="24"/>
          <w:szCs w:val="24"/>
        </w:rPr>
        <w:t xml:space="preserve">11.1-OMISSIS-. Questo, tuttavia, non esclude che, per come espressamente previsto dal legislatore in coerenza con l’orientamento giurisprudenziale formatosi sotto la vigenza della precedente </w:t>
      </w:r>
      <w:r w:rsidRPr="007F57CD">
        <w:rPr>
          <w:rFonts w:ascii="Times New Roman" w:hAnsi="Times New Roman" w:cs="Times New Roman"/>
          <w:sz w:val="24"/>
          <w:szCs w:val="24"/>
        </w:rPr>
        <w:lastRenderedPageBreak/>
        <w:t xml:space="preserve">normativa in tema di appalti, </w:t>
      </w:r>
      <w:r w:rsidRPr="007F57CD">
        <w:rPr>
          <w:rFonts w:ascii="Times New Roman" w:hAnsi="Times New Roman" w:cs="Times New Roman"/>
          <w:b/>
          <w:bCs/>
          <w:sz w:val="24"/>
          <w:szCs w:val="24"/>
        </w:rPr>
        <w:t>ciascun concorrente possa, in via separata (come peraltro avvenuto nella specie) rispetto </w:t>
      </w:r>
      <w:r w:rsidRPr="007F57CD">
        <w:rPr>
          <w:rFonts w:ascii="Times New Roman" w:hAnsi="Times New Roman" w:cs="Times New Roman"/>
          <w:b/>
          <w:bCs/>
          <w:i/>
          <w:iCs/>
          <w:sz w:val="24"/>
          <w:szCs w:val="24"/>
        </w:rPr>
        <w:t>“all’importo assoggettato al ribasso”</w:t>
      </w:r>
      <w:r w:rsidRPr="007F57CD">
        <w:rPr>
          <w:rFonts w:ascii="Times New Roman" w:hAnsi="Times New Roman" w:cs="Times New Roman"/>
          <w:b/>
          <w:bCs/>
          <w:sz w:val="24"/>
          <w:szCs w:val="24"/>
        </w:rPr>
        <w:t> (ovvero quello sul quale applicare la percentuale di ribasso percentuale), esporre una cifra, a titolo di costi della manodopera, inferiore rispetto a quella che la stazione appaltante ha previsto </w:t>
      </w:r>
      <w:r w:rsidRPr="007F57CD">
        <w:rPr>
          <w:rFonts w:ascii="Times New Roman" w:hAnsi="Times New Roman" w:cs="Times New Roman"/>
          <w:b/>
          <w:bCs/>
          <w:i/>
          <w:iCs/>
          <w:sz w:val="24"/>
          <w:szCs w:val="24"/>
        </w:rPr>
        <w:t>ex ante</w:t>
      </w:r>
      <w:r w:rsidRPr="007F57CD">
        <w:rPr>
          <w:rFonts w:ascii="Times New Roman" w:hAnsi="Times New Roman" w:cs="Times New Roman"/>
          <w:b/>
          <w:bCs/>
          <w:sz w:val="24"/>
          <w:szCs w:val="24"/>
        </w:rPr>
        <w:t> nell’ambito del più ampio importo posto a base di gara.</w:t>
      </w:r>
    </w:p>
    <w:p w14:paraId="56B37490" w14:textId="553A915E" w:rsidR="007F57CD" w:rsidRPr="007F57CD" w:rsidRDefault="007F57CD" w:rsidP="007F57CD">
      <w:pPr>
        <w:spacing w:after="0"/>
        <w:jc w:val="both"/>
        <w:rPr>
          <w:rFonts w:ascii="Times New Roman" w:hAnsi="Times New Roman" w:cs="Times New Roman"/>
          <w:sz w:val="24"/>
          <w:szCs w:val="24"/>
        </w:rPr>
      </w:pPr>
      <w:r w:rsidRPr="007F57CD">
        <w:rPr>
          <w:rFonts w:ascii="Times New Roman" w:hAnsi="Times New Roman" w:cs="Times New Roman"/>
          <w:sz w:val="24"/>
          <w:szCs w:val="24"/>
        </w:rPr>
        <w:t>11.19. Ciò, tuttavia, potrà avvenire a condizione che tale, per così dire, </w:t>
      </w:r>
      <w:r w:rsidRPr="007F57CD">
        <w:rPr>
          <w:rFonts w:ascii="Times New Roman" w:hAnsi="Times New Roman" w:cs="Times New Roman"/>
          <w:i/>
          <w:iCs/>
          <w:sz w:val="24"/>
          <w:szCs w:val="24"/>
        </w:rPr>
        <w:t>“indiretto”</w:t>
      </w:r>
      <w:r w:rsidRPr="007F57CD">
        <w:rPr>
          <w:rFonts w:ascii="Times New Roman" w:hAnsi="Times New Roman" w:cs="Times New Roman"/>
          <w:sz w:val="24"/>
          <w:szCs w:val="24"/>
        </w:rPr>
        <w:t> ribasso dei costi della manodopera risulti coerente con una “</w:t>
      </w:r>
      <w:r w:rsidRPr="007F57CD">
        <w:rPr>
          <w:rFonts w:ascii="Times New Roman" w:hAnsi="Times New Roman" w:cs="Times New Roman"/>
          <w:b/>
          <w:bCs/>
          <w:i/>
          <w:iCs/>
          <w:sz w:val="24"/>
          <w:szCs w:val="24"/>
        </w:rPr>
        <w:t>più efficiente organizzazione aziendale</w:t>
      </w:r>
      <w:r w:rsidRPr="007F57CD">
        <w:rPr>
          <w:rFonts w:ascii="Times New Roman" w:hAnsi="Times New Roman" w:cs="Times New Roman"/>
          <w:b/>
          <w:bCs/>
          <w:sz w:val="24"/>
          <w:szCs w:val="24"/>
        </w:rPr>
        <w:t>”</w:t>
      </w:r>
      <w:r w:rsidRPr="007F57CD">
        <w:rPr>
          <w:rFonts w:ascii="Times New Roman" w:hAnsi="Times New Roman" w:cs="Times New Roman"/>
          <w:sz w:val="24"/>
          <w:szCs w:val="24"/>
        </w:rPr>
        <w:t xml:space="preserve"> che l’operatore dovrà dimostrare in sede di verifica dell’anomalia, doverosamente promossa dalla stazione appaltante (Consiglio di Stato sez. V, 09/06/2023, sentenza -OMISSIS-665; T.A.R. Sicilia, Palermo sez. II, 19.12.2023, sentenza n. 3779; T.A.R. Campania, Napoli, sez. V, 07.11.2023, sentenza n. 612-OMISSIS-) (cfr. T.A.R. Calabria sez. I - Reggio Calabria, sentenza -OMISSIS-19).</w:t>
      </w:r>
    </w:p>
    <w:p w14:paraId="3D8BA184" w14:textId="77777777" w:rsidR="007F57CD" w:rsidRPr="007F57CD" w:rsidRDefault="007F57CD" w:rsidP="007F57CD">
      <w:pPr>
        <w:spacing w:after="0"/>
        <w:jc w:val="both"/>
        <w:rPr>
          <w:rFonts w:ascii="Times New Roman" w:hAnsi="Times New Roman" w:cs="Times New Roman"/>
          <w:sz w:val="24"/>
          <w:szCs w:val="24"/>
        </w:rPr>
      </w:pPr>
      <w:r w:rsidRPr="007F57CD">
        <w:rPr>
          <w:rFonts w:ascii="Times New Roman" w:hAnsi="Times New Roman" w:cs="Times New Roman"/>
          <w:sz w:val="24"/>
          <w:szCs w:val="24"/>
        </w:rPr>
        <w:t>11.20. Anche lo stesso Tar Lombardia-Milano, sentenza n. 3127 del 2024, citato sempre dalla ricorrente, evidenzia che il dettato di cui all’art. 41, comma 14, cit. non implica </w:t>
      </w:r>
      <w:r w:rsidRPr="007F57CD">
        <w:rPr>
          <w:rFonts w:ascii="Times New Roman" w:hAnsi="Times New Roman" w:cs="Times New Roman"/>
          <w:i/>
          <w:iCs/>
          <w:sz w:val="24"/>
          <w:szCs w:val="24"/>
        </w:rPr>
        <w:t>“che è esclusa la possibilità per l’operatore di proporre un ribasso che coinvolga anche il costo della manodopera. L’operatore non solo potrà formulare un ribasso che coinvolge anche il costo della manodopera, ma potrà anche dimostrare che tale ribasso è derivante “da una più efficiente organizzazione aziendale” o “da sgravi contributivi che non comportano penalizzazioni per la manodopera”, secondo il tradizionale orientamento della giurisprudenza in linea con l’art. 41 della Costituzione”.</w:t>
      </w:r>
    </w:p>
    <w:p w14:paraId="30C01055" w14:textId="77777777" w:rsidR="007F57CD" w:rsidRPr="007F57CD" w:rsidRDefault="007F57CD" w:rsidP="007F57CD">
      <w:pPr>
        <w:spacing w:after="0"/>
        <w:jc w:val="both"/>
        <w:rPr>
          <w:rFonts w:ascii="Times New Roman" w:hAnsi="Times New Roman" w:cs="Times New Roman"/>
          <w:sz w:val="24"/>
          <w:szCs w:val="24"/>
        </w:rPr>
      </w:pPr>
      <w:r w:rsidRPr="007F57CD">
        <w:rPr>
          <w:rFonts w:ascii="Times New Roman" w:hAnsi="Times New Roman" w:cs="Times New Roman"/>
          <w:sz w:val="24"/>
          <w:szCs w:val="24"/>
        </w:rPr>
        <w:t>11.21. Dunque, nella specie, bene ha fatto la stazione appaltante a riammettere la società controinteressata e ad effettuare la valutazione dell’anomalia dell’offerta, uniformandosi al parere precontenzioso dell’ANAC, posto che la stessa si è posta pienamente in linea con i principi espressi dalla giurisprudenza succitata.</w:t>
      </w:r>
    </w:p>
    <w:p w14:paraId="01638889" w14:textId="77777777" w:rsidR="007F57CD" w:rsidRDefault="007F57CD" w:rsidP="009918B3">
      <w:pPr>
        <w:spacing w:after="0"/>
        <w:jc w:val="both"/>
        <w:rPr>
          <w:rFonts w:ascii="Times New Roman" w:hAnsi="Times New Roman" w:cs="Times New Roman"/>
          <w:b/>
          <w:bCs/>
          <w:sz w:val="24"/>
          <w:szCs w:val="24"/>
        </w:rPr>
      </w:pPr>
    </w:p>
    <w:p w14:paraId="6F2DBCEB" w14:textId="1C43DF17" w:rsidR="007F57CD" w:rsidRDefault="007F57CD" w:rsidP="009918B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______________________________ </w:t>
      </w:r>
    </w:p>
    <w:p w14:paraId="048658C5" w14:textId="77777777" w:rsidR="007F57CD" w:rsidRDefault="007F57CD" w:rsidP="009918B3">
      <w:pPr>
        <w:spacing w:after="0"/>
        <w:jc w:val="both"/>
        <w:rPr>
          <w:rFonts w:ascii="Times New Roman" w:hAnsi="Times New Roman" w:cs="Times New Roman"/>
          <w:b/>
          <w:bCs/>
          <w:sz w:val="24"/>
          <w:szCs w:val="24"/>
        </w:rPr>
      </w:pPr>
    </w:p>
    <w:p w14:paraId="30BE3BC2" w14:textId="6279A14C" w:rsidR="00B7133D" w:rsidRPr="00B7133D" w:rsidRDefault="00B7133D" w:rsidP="009918B3">
      <w:pPr>
        <w:spacing w:after="0"/>
        <w:jc w:val="both"/>
        <w:rPr>
          <w:rFonts w:ascii="Times New Roman" w:hAnsi="Times New Roman" w:cs="Times New Roman"/>
          <w:b/>
          <w:bCs/>
          <w:sz w:val="24"/>
          <w:szCs w:val="24"/>
        </w:rPr>
      </w:pPr>
      <w:r w:rsidRPr="00B7133D">
        <w:rPr>
          <w:rFonts w:ascii="Times New Roman" w:hAnsi="Times New Roman" w:cs="Times New Roman"/>
          <w:b/>
          <w:bCs/>
          <w:sz w:val="24"/>
          <w:szCs w:val="24"/>
        </w:rPr>
        <w:t>Parer</w:t>
      </w:r>
      <w:r>
        <w:rPr>
          <w:rFonts w:ascii="Times New Roman" w:hAnsi="Times New Roman" w:cs="Times New Roman"/>
          <w:b/>
          <w:bCs/>
          <w:sz w:val="24"/>
          <w:szCs w:val="24"/>
        </w:rPr>
        <w:t>e</w:t>
      </w:r>
      <w:r w:rsidRPr="00B7133D">
        <w:rPr>
          <w:rFonts w:ascii="Times New Roman" w:hAnsi="Times New Roman" w:cs="Times New Roman"/>
          <w:b/>
          <w:bCs/>
          <w:sz w:val="24"/>
          <w:szCs w:val="24"/>
        </w:rPr>
        <w:t xml:space="preserve"> MIT, 30.01.2025, n. 3195</w:t>
      </w:r>
    </w:p>
    <w:p w14:paraId="0DBF0A2A" w14:textId="2C66F2AF" w:rsidR="00B7133D" w:rsidRPr="00B7133D" w:rsidRDefault="00B7133D" w:rsidP="009918B3">
      <w:pPr>
        <w:spacing w:after="0"/>
        <w:jc w:val="both"/>
        <w:rPr>
          <w:rFonts w:ascii="Times New Roman" w:hAnsi="Times New Roman" w:cs="Times New Roman"/>
          <w:b/>
          <w:bCs/>
          <w:i/>
          <w:iCs/>
          <w:sz w:val="24"/>
          <w:szCs w:val="24"/>
        </w:rPr>
      </w:pPr>
      <w:r w:rsidRPr="00B7133D">
        <w:rPr>
          <w:rFonts w:ascii="Times New Roman" w:hAnsi="Times New Roman" w:cs="Times New Roman"/>
          <w:b/>
          <w:bCs/>
          <w:i/>
          <w:iCs/>
          <w:sz w:val="24"/>
          <w:szCs w:val="24"/>
        </w:rPr>
        <w:t>Sull’anticipazione prezzi in caso di servizi di architettura e ingegneria</w:t>
      </w:r>
    </w:p>
    <w:p w14:paraId="0837B6A9" w14:textId="77777777" w:rsidR="00B7133D" w:rsidRDefault="00B7133D" w:rsidP="009918B3">
      <w:pPr>
        <w:spacing w:after="0"/>
        <w:jc w:val="both"/>
        <w:rPr>
          <w:rFonts w:ascii="Times New Roman" w:hAnsi="Times New Roman" w:cs="Times New Roman"/>
          <w:sz w:val="24"/>
          <w:szCs w:val="24"/>
        </w:rPr>
      </w:pPr>
      <w:r w:rsidRPr="00B7133D">
        <w:rPr>
          <w:rFonts w:ascii="Times New Roman" w:hAnsi="Times New Roman" w:cs="Times New Roman"/>
          <w:sz w:val="24"/>
          <w:szCs w:val="24"/>
        </w:rPr>
        <w:t xml:space="preserve">Si chiedono indicazioni sulla possibilità di concedere o meno l'anticipazione del prezzo ai sensi dell'art. 125 </w:t>
      </w:r>
      <w:proofErr w:type="gramStart"/>
      <w:r w:rsidRPr="00B7133D">
        <w:rPr>
          <w:rFonts w:ascii="Times New Roman" w:hAnsi="Times New Roman" w:cs="Times New Roman"/>
          <w:sz w:val="24"/>
          <w:szCs w:val="24"/>
        </w:rPr>
        <w:t xml:space="preserve">d </w:t>
      </w:r>
      <w:proofErr w:type="spellStart"/>
      <w:r w:rsidRPr="00B7133D">
        <w:rPr>
          <w:rFonts w:ascii="Times New Roman" w:hAnsi="Times New Roman" w:cs="Times New Roman"/>
          <w:sz w:val="24"/>
          <w:szCs w:val="24"/>
        </w:rPr>
        <w:t>el</w:t>
      </w:r>
      <w:proofErr w:type="spellEnd"/>
      <w:proofErr w:type="gramEnd"/>
      <w:r w:rsidRPr="00B7133D">
        <w:rPr>
          <w:rFonts w:ascii="Times New Roman" w:hAnsi="Times New Roman" w:cs="Times New Roman"/>
          <w:sz w:val="24"/>
          <w:szCs w:val="24"/>
        </w:rPr>
        <w:t xml:space="preserve"> Codice per i servizi di ingegneria e architettura alla luce di quanto disposto dall'art. 33 dell'Allegato II.14 </w:t>
      </w:r>
      <w:proofErr w:type="spellStart"/>
      <w:r w:rsidRPr="00B7133D">
        <w:rPr>
          <w:rFonts w:ascii="Times New Roman" w:hAnsi="Times New Roman" w:cs="Times New Roman"/>
          <w:sz w:val="24"/>
          <w:szCs w:val="24"/>
        </w:rPr>
        <w:t>a l</w:t>
      </w:r>
      <w:proofErr w:type="spellEnd"/>
      <w:r w:rsidRPr="00B7133D">
        <w:rPr>
          <w:rFonts w:ascii="Times New Roman" w:hAnsi="Times New Roman" w:cs="Times New Roman"/>
          <w:sz w:val="24"/>
          <w:szCs w:val="24"/>
        </w:rPr>
        <w:t xml:space="preserve"> Codice: "Sono esclusi dall'applicazione delle disposizioni di cui all'art. 125, comma 1, del codice ... i servizi che, per loro natura, prevedono prestazioni intellettuali o che non necessitano della predisposizione di attrezzature o di materiali.". In particolare si chiede, anche alla luce di recenti pronunce giurisprudenziali (Consiglio di Stato Sezione V, 21 maggio 2024 n. 4502), se i servizi di ingegneria e architettura siano da considerarsi ser vizi di natura intellettuale e come tali debbano essere esclusi dall'anticipazione del prezzo. </w:t>
      </w:r>
    </w:p>
    <w:p w14:paraId="28F05C6B" w14:textId="77777777" w:rsidR="00B7133D" w:rsidRDefault="00B7133D" w:rsidP="009918B3">
      <w:pPr>
        <w:spacing w:after="0"/>
        <w:jc w:val="both"/>
        <w:rPr>
          <w:rFonts w:ascii="Times New Roman" w:hAnsi="Times New Roman" w:cs="Times New Roman"/>
          <w:sz w:val="24"/>
          <w:szCs w:val="24"/>
        </w:rPr>
      </w:pPr>
    </w:p>
    <w:p w14:paraId="0E85D993" w14:textId="6ED79399" w:rsidR="00B7133D" w:rsidRDefault="00B7133D" w:rsidP="009918B3">
      <w:pPr>
        <w:spacing w:after="0"/>
        <w:jc w:val="both"/>
        <w:rPr>
          <w:rFonts w:ascii="Times New Roman" w:hAnsi="Times New Roman" w:cs="Times New Roman"/>
          <w:sz w:val="24"/>
          <w:szCs w:val="24"/>
        </w:rPr>
      </w:pPr>
      <w:r w:rsidRPr="00656217">
        <w:rPr>
          <w:rFonts w:ascii="Times New Roman" w:hAnsi="Times New Roman" w:cs="Times New Roman"/>
          <w:b/>
          <w:bCs/>
          <w:sz w:val="24"/>
          <w:szCs w:val="24"/>
        </w:rPr>
        <w:t>Risposta</w:t>
      </w:r>
      <w:r>
        <w:rPr>
          <w:rFonts w:ascii="Times New Roman" w:hAnsi="Times New Roman" w:cs="Times New Roman"/>
          <w:sz w:val="24"/>
          <w:szCs w:val="24"/>
        </w:rPr>
        <w:t>:</w:t>
      </w:r>
      <w:r w:rsidRPr="00B7133D">
        <w:rPr>
          <w:rFonts w:ascii="Times New Roman" w:hAnsi="Times New Roman" w:cs="Times New Roman"/>
          <w:sz w:val="24"/>
          <w:szCs w:val="24"/>
        </w:rPr>
        <w:t xml:space="preserve"> Relativamente ai servizi di ingegneria e architettura, come ribadito dalla recente Consiglio di Stato Sezione V, 21 maggio 2024 n. 4502 anche da voi citata, si conferma che rientrano nei servizi di natura intellettuale ed in quanto tali sono esclusi dall’applicazione delle disposizioni di cui all’articolo 125, comma 1, del codice dei contratti pubblici.</w:t>
      </w:r>
      <w:r w:rsidR="00656217">
        <w:rPr>
          <w:rFonts w:ascii="Times New Roman" w:hAnsi="Times New Roman" w:cs="Times New Roman"/>
          <w:sz w:val="24"/>
          <w:szCs w:val="24"/>
        </w:rPr>
        <w:t xml:space="preserve"> </w:t>
      </w:r>
    </w:p>
    <w:p w14:paraId="1485421C" w14:textId="68834191" w:rsidR="006E3E49" w:rsidRDefault="006E3E49" w:rsidP="009918B3">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 </w:t>
      </w:r>
    </w:p>
    <w:p w14:paraId="10654797" w14:textId="6194158E" w:rsidR="006E3E49" w:rsidRPr="006E3E49" w:rsidRDefault="006E3E49" w:rsidP="009918B3">
      <w:pPr>
        <w:spacing w:after="0"/>
        <w:jc w:val="both"/>
        <w:rPr>
          <w:rFonts w:ascii="Times New Roman" w:hAnsi="Times New Roman" w:cs="Times New Roman"/>
          <w:b/>
          <w:bCs/>
          <w:sz w:val="24"/>
          <w:szCs w:val="24"/>
        </w:rPr>
      </w:pPr>
      <w:r w:rsidRPr="006E3E49">
        <w:rPr>
          <w:rFonts w:ascii="Times New Roman" w:hAnsi="Times New Roman" w:cs="Times New Roman"/>
          <w:b/>
          <w:bCs/>
          <w:sz w:val="24"/>
          <w:szCs w:val="24"/>
        </w:rPr>
        <w:t>Tar Toscana, Sez. II, 24/02/2025, n. 292:</w:t>
      </w:r>
    </w:p>
    <w:p w14:paraId="548783D7" w14:textId="0BD5F168" w:rsidR="006E3E49" w:rsidRDefault="006E3E49" w:rsidP="009918B3">
      <w:pPr>
        <w:spacing w:after="0"/>
        <w:jc w:val="both"/>
        <w:rPr>
          <w:rFonts w:ascii="Times New Roman" w:hAnsi="Times New Roman" w:cs="Times New Roman"/>
          <w:b/>
          <w:bCs/>
          <w:sz w:val="24"/>
          <w:szCs w:val="24"/>
        </w:rPr>
      </w:pPr>
      <w:r w:rsidRPr="006E3E49">
        <w:rPr>
          <w:rFonts w:ascii="Times New Roman" w:hAnsi="Times New Roman" w:cs="Times New Roman"/>
          <w:b/>
          <w:bCs/>
          <w:sz w:val="24"/>
          <w:szCs w:val="24"/>
        </w:rPr>
        <w:t>Sulla mancata indicazione del costo della manodopera da parte della Stazione Appaltante</w:t>
      </w:r>
    </w:p>
    <w:p w14:paraId="451E88B1" w14:textId="7C2949C7" w:rsidR="006E3E49" w:rsidRDefault="006E3E49" w:rsidP="009918B3">
      <w:pPr>
        <w:spacing w:after="0"/>
        <w:jc w:val="both"/>
        <w:rPr>
          <w:rFonts w:ascii="Times New Roman" w:hAnsi="Times New Roman" w:cs="Times New Roman"/>
          <w:sz w:val="24"/>
          <w:szCs w:val="24"/>
        </w:rPr>
      </w:pPr>
      <w:r w:rsidRPr="006E3E49">
        <w:rPr>
          <w:rFonts w:ascii="Times New Roman" w:hAnsi="Times New Roman" w:cs="Times New Roman"/>
          <w:sz w:val="24"/>
          <w:szCs w:val="24"/>
        </w:rPr>
        <w:t>L’omissione del costo della manodopera di cui all’art. 41 comma 14 cit. non può costituire</w:t>
      </w:r>
      <w:r w:rsidRPr="006E3E49">
        <w:rPr>
          <w:rFonts w:ascii="Times New Roman" w:hAnsi="Times New Roman" w:cs="Times New Roman"/>
          <w:b/>
          <w:bCs/>
          <w:sz w:val="24"/>
          <w:szCs w:val="24"/>
        </w:rPr>
        <w:t xml:space="preserve"> di per sé una causa di annullamento della legge di gara</w:t>
      </w:r>
    </w:p>
    <w:p w14:paraId="36BB1563" w14:textId="2E89A584" w:rsidR="006E3E49" w:rsidRDefault="006E3E49" w:rsidP="009918B3">
      <w:pPr>
        <w:spacing w:after="0"/>
        <w:jc w:val="both"/>
        <w:rPr>
          <w:rFonts w:ascii="Times New Roman" w:hAnsi="Times New Roman" w:cs="Times New Roman"/>
          <w:sz w:val="24"/>
          <w:szCs w:val="24"/>
        </w:rPr>
      </w:pPr>
      <w:r w:rsidRPr="006E3E49">
        <w:rPr>
          <w:rFonts w:ascii="Times New Roman" w:hAnsi="Times New Roman" w:cs="Times New Roman"/>
          <w:sz w:val="24"/>
          <w:szCs w:val="24"/>
        </w:rPr>
        <w:t xml:space="preserve">Ne deriva che l’omissione dell’indicazione del costo della manodopera nella legge di gara </w:t>
      </w:r>
      <w:r w:rsidRPr="006E3E49">
        <w:rPr>
          <w:rFonts w:ascii="Times New Roman" w:hAnsi="Times New Roman" w:cs="Times New Roman"/>
          <w:b/>
          <w:bCs/>
          <w:sz w:val="24"/>
          <w:szCs w:val="24"/>
        </w:rPr>
        <w:t>non comporta l’impossibilità di presentare l’offerta</w:t>
      </w:r>
      <w:r w:rsidRPr="006E3E49">
        <w:rPr>
          <w:rFonts w:ascii="Times New Roman" w:hAnsi="Times New Roman" w:cs="Times New Roman"/>
          <w:sz w:val="24"/>
          <w:szCs w:val="24"/>
        </w:rPr>
        <w:t xml:space="preserve">, né la possibilità di assoggettare il costo del personale a ribasso ad </w:t>
      </w:r>
      <w:proofErr w:type="spellStart"/>
      <w:r w:rsidRPr="006E3E49">
        <w:rPr>
          <w:rFonts w:ascii="Times New Roman" w:hAnsi="Times New Roman" w:cs="Times New Roman"/>
          <w:sz w:val="24"/>
          <w:szCs w:val="24"/>
        </w:rPr>
        <w:t>nutum</w:t>
      </w:r>
      <w:proofErr w:type="spellEnd"/>
      <w:r w:rsidRPr="006E3E49">
        <w:rPr>
          <w:rFonts w:ascii="Times New Roman" w:hAnsi="Times New Roman" w:cs="Times New Roman"/>
          <w:sz w:val="24"/>
          <w:szCs w:val="24"/>
        </w:rPr>
        <w:t xml:space="preserve">, in quanto non impedisce di verificare il rispetto dei diritti economici </w:t>
      </w:r>
      <w:r w:rsidRPr="006E3E49">
        <w:rPr>
          <w:rFonts w:ascii="Times New Roman" w:hAnsi="Times New Roman" w:cs="Times New Roman"/>
          <w:sz w:val="24"/>
          <w:szCs w:val="24"/>
        </w:rPr>
        <w:lastRenderedPageBreak/>
        <w:t>dei lavoratori con i criteri indicati dall’art. 110 c. 5 del Codice dei contratti. Anzi si può dire che la mancata indicazione del costo teorico del personale calcolato dalla stazione appaltante comporta l’effetto opposto della necessaria verifica di anomalia dell’offerta delle spese del personale a maggior tutela dei lavoratori. In definitiva deve ritenersi che l’omissione dell’indicazione dei costi della manodopera nel bando non permette di sottoporre a riduzione senza limiti la spesa di personale e quindi non costituisce vizio idoneo a travolgere l’intera gara ma può costituire solo vizio dell’offerta che abbia indicato le spese del personale non rispettose dei livelli salariali applicabili al caso di specie</w:t>
      </w:r>
      <w:r w:rsidR="0076483B">
        <w:rPr>
          <w:rFonts w:ascii="Times New Roman" w:hAnsi="Times New Roman" w:cs="Times New Roman"/>
          <w:sz w:val="24"/>
          <w:szCs w:val="24"/>
        </w:rPr>
        <w:t xml:space="preserve">. </w:t>
      </w:r>
    </w:p>
    <w:p w14:paraId="125C2116" w14:textId="4B29AD31" w:rsidR="0076483B" w:rsidRDefault="0076483B" w:rsidP="009918B3">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14:paraId="4EFEC70C" w14:textId="600EBE3B" w:rsidR="0076483B" w:rsidRPr="0076483B" w:rsidRDefault="0076483B" w:rsidP="009918B3">
      <w:pPr>
        <w:spacing w:after="0"/>
        <w:jc w:val="both"/>
        <w:rPr>
          <w:rFonts w:ascii="Times New Roman" w:hAnsi="Times New Roman" w:cs="Times New Roman"/>
          <w:b/>
          <w:bCs/>
          <w:sz w:val="24"/>
          <w:szCs w:val="24"/>
        </w:rPr>
      </w:pPr>
      <w:r w:rsidRPr="0076483B">
        <w:rPr>
          <w:rFonts w:ascii="Times New Roman" w:hAnsi="Times New Roman" w:cs="Times New Roman"/>
          <w:b/>
          <w:bCs/>
          <w:sz w:val="24"/>
          <w:szCs w:val="24"/>
        </w:rPr>
        <w:t>T.A.R. Piemonte, I, 21 febbraio 2025, n. 424</w:t>
      </w:r>
    </w:p>
    <w:p w14:paraId="3B767A53" w14:textId="6E175F1F" w:rsidR="0076483B" w:rsidRPr="0076483B" w:rsidRDefault="0076483B" w:rsidP="009918B3">
      <w:pPr>
        <w:spacing w:after="0"/>
        <w:jc w:val="both"/>
        <w:rPr>
          <w:rFonts w:ascii="Times New Roman" w:hAnsi="Times New Roman" w:cs="Times New Roman"/>
          <w:b/>
          <w:bCs/>
          <w:sz w:val="24"/>
          <w:szCs w:val="24"/>
        </w:rPr>
      </w:pPr>
      <w:r w:rsidRPr="0076483B">
        <w:rPr>
          <w:rFonts w:ascii="Times New Roman" w:hAnsi="Times New Roman" w:cs="Times New Roman"/>
          <w:b/>
          <w:bCs/>
          <w:sz w:val="24"/>
          <w:szCs w:val="24"/>
        </w:rPr>
        <w:t>Sull</w:t>
      </w:r>
      <w:r>
        <w:rPr>
          <w:rFonts w:ascii="Times New Roman" w:hAnsi="Times New Roman" w:cs="Times New Roman"/>
          <w:b/>
          <w:bCs/>
          <w:sz w:val="24"/>
          <w:szCs w:val="24"/>
        </w:rPr>
        <w:t xml:space="preserve">’obbligo di </w:t>
      </w:r>
      <w:r w:rsidRPr="0076483B">
        <w:rPr>
          <w:rFonts w:ascii="Times New Roman" w:hAnsi="Times New Roman" w:cs="Times New Roman"/>
          <w:b/>
          <w:bCs/>
          <w:sz w:val="24"/>
          <w:szCs w:val="24"/>
        </w:rPr>
        <w:t>previsione in sede di gara de</w:t>
      </w:r>
      <w:r>
        <w:rPr>
          <w:rFonts w:ascii="Times New Roman" w:hAnsi="Times New Roman" w:cs="Times New Roman"/>
          <w:b/>
          <w:bCs/>
          <w:sz w:val="24"/>
          <w:szCs w:val="24"/>
        </w:rPr>
        <w:t>lla SOA in caso di m</w:t>
      </w:r>
      <w:r w:rsidRPr="0076483B">
        <w:rPr>
          <w:rFonts w:ascii="Times New Roman" w:hAnsi="Times New Roman" w:cs="Times New Roman"/>
          <w:b/>
          <w:bCs/>
          <w:sz w:val="24"/>
          <w:szCs w:val="24"/>
        </w:rPr>
        <w:t>igliorie aventi ad oggetti l’esecuzione di lavori</w:t>
      </w:r>
    </w:p>
    <w:p w14:paraId="3561934B" w14:textId="30A4C06A" w:rsidR="0076483B" w:rsidRPr="0076483B" w:rsidRDefault="0076483B" w:rsidP="009918B3">
      <w:pPr>
        <w:spacing w:after="0"/>
        <w:jc w:val="both"/>
        <w:rPr>
          <w:rFonts w:ascii="Times New Roman" w:hAnsi="Times New Roman" w:cs="Times New Roman"/>
          <w:sz w:val="24"/>
          <w:szCs w:val="24"/>
        </w:rPr>
      </w:pPr>
      <w:r w:rsidRPr="0076483B">
        <w:rPr>
          <w:rFonts w:ascii="Times New Roman" w:hAnsi="Times New Roman" w:cs="Times New Roman"/>
          <w:sz w:val="24"/>
          <w:szCs w:val="24"/>
        </w:rPr>
        <w:t xml:space="preserve">Nell’ambito di una procedura a evidenza pubblica per </w:t>
      </w:r>
      <w:r w:rsidRPr="0076483B">
        <w:rPr>
          <w:rFonts w:ascii="Times New Roman" w:hAnsi="Times New Roman" w:cs="Times New Roman"/>
          <w:b/>
          <w:bCs/>
          <w:sz w:val="24"/>
          <w:szCs w:val="24"/>
        </w:rPr>
        <w:t>l’affidamento dei servizi</w:t>
      </w:r>
      <w:r w:rsidRPr="0076483B">
        <w:rPr>
          <w:rFonts w:ascii="Times New Roman" w:hAnsi="Times New Roman" w:cs="Times New Roman"/>
          <w:sz w:val="24"/>
          <w:szCs w:val="24"/>
        </w:rPr>
        <w:t xml:space="preserve"> necroscopici, di vigilanza, custodia, manutenzione del verde e ordinaria manutenzione del cimitero del cimitero cittadino l’aggiudicataria, </w:t>
      </w:r>
      <w:r w:rsidRPr="0076483B">
        <w:rPr>
          <w:rFonts w:ascii="Times New Roman" w:hAnsi="Times New Roman" w:cs="Times New Roman"/>
          <w:b/>
          <w:bCs/>
          <w:sz w:val="24"/>
          <w:szCs w:val="24"/>
          <w:u w:val="single"/>
        </w:rPr>
        <w:t>in coerenza con il disciplinare di gara</w:t>
      </w:r>
      <w:r w:rsidRPr="0076483B">
        <w:rPr>
          <w:rFonts w:ascii="Times New Roman" w:hAnsi="Times New Roman" w:cs="Times New Roman"/>
          <w:b/>
          <w:bCs/>
          <w:sz w:val="24"/>
          <w:szCs w:val="24"/>
        </w:rPr>
        <w:t>, ha offerto delle migliorie,</w:t>
      </w:r>
      <w:r w:rsidRPr="0076483B">
        <w:rPr>
          <w:rFonts w:ascii="Times New Roman" w:hAnsi="Times New Roman" w:cs="Times New Roman"/>
          <w:sz w:val="24"/>
          <w:szCs w:val="24"/>
        </w:rPr>
        <w:t xml:space="preserve"> e nel particolare la </w:t>
      </w:r>
      <w:r w:rsidRPr="0076483B">
        <w:rPr>
          <w:rFonts w:ascii="Times New Roman" w:hAnsi="Times New Roman" w:cs="Times New Roman"/>
          <w:b/>
          <w:bCs/>
          <w:sz w:val="24"/>
          <w:szCs w:val="24"/>
        </w:rPr>
        <w:t>realizzazione</w:t>
      </w:r>
      <w:r w:rsidRPr="0076483B">
        <w:rPr>
          <w:rFonts w:ascii="Times New Roman" w:hAnsi="Times New Roman" w:cs="Times New Roman"/>
          <w:sz w:val="24"/>
          <w:szCs w:val="24"/>
        </w:rPr>
        <w:t xml:space="preserve"> di una sala commiato, di un’area di stoccaggio rifiuti e di una di meditazione.</w:t>
      </w:r>
    </w:p>
    <w:p w14:paraId="60130C9B" w14:textId="77777777" w:rsidR="0076483B" w:rsidRPr="0076483B" w:rsidRDefault="0076483B" w:rsidP="009918B3">
      <w:pPr>
        <w:spacing w:after="0"/>
        <w:jc w:val="both"/>
        <w:rPr>
          <w:rFonts w:ascii="Times New Roman" w:hAnsi="Times New Roman" w:cs="Times New Roman"/>
          <w:sz w:val="24"/>
          <w:szCs w:val="24"/>
        </w:rPr>
      </w:pPr>
    </w:p>
    <w:p w14:paraId="75150694" w14:textId="4ECA0A5C" w:rsidR="0076483B" w:rsidRPr="0076483B" w:rsidRDefault="0076483B" w:rsidP="0076483B">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76483B">
        <w:rPr>
          <w:rFonts w:ascii="Times New Roman" w:hAnsi="Times New Roman" w:cs="Times New Roman"/>
          <w:sz w:val="24"/>
          <w:szCs w:val="24"/>
        </w:rPr>
        <w:t xml:space="preserve">evidente che l’offerta delle migliorie de </w:t>
      </w:r>
      <w:proofErr w:type="spellStart"/>
      <w:r w:rsidRPr="0076483B">
        <w:rPr>
          <w:rFonts w:ascii="Times New Roman" w:hAnsi="Times New Roman" w:cs="Times New Roman"/>
          <w:sz w:val="24"/>
          <w:szCs w:val="24"/>
        </w:rPr>
        <w:t>quibus</w:t>
      </w:r>
      <w:proofErr w:type="spellEnd"/>
      <w:r w:rsidRPr="0076483B">
        <w:rPr>
          <w:rFonts w:ascii="Times New Roman" w:hAnsi="Times New Roman" w:cs="Times New Roman"/>
          <w:sz w:val="24"/>
          <w:szCs w:val="24"/>
        </w:rPr>
        <w:t> è idonea a </w:t>
      </w:r>
      <w:r w:rsidRPr="0076483B">
        <w:rPr>
          <w:rFonts w:ascii="Times New Roman" w:hAnsi="Times New Roman" w:cs="Times New Roman"/>
          <w:b/>
          <w:bCs/>
          <w:sz w:val="24"/>
          <w:szCs w:val="24"/>
          <w:u w:val="single"/>
        </w:rPr>
        <w:t>mutare l’oggetto dell’appalto da servizi a misto</w:t>
      </w:r>
      <w:r w:rsidRPr="0076483B">
        <w:rPr>
          <w:rFonts w:ascii="Times New Roman" w:hAnsi="Times New Roman" w:cs="Times New Roman"/>
          <w:sz w:val="24"/>
          <w:szCs w:val="24"/>
        </w:rPr>
        <w:t xml:space="preserve">: ai servizi cimiteriali, che, come visto, rappresentano l’oggetto principale della commessa, vanno, infatti, sommati i </w:t>
      </w:r>
      <w:r w:rsidRPr="0076483B">
        <w:rPr>
          <w:rFonts w:ascii="Times New Roman" w:hAnsi="Times New Roman" w:cs="Times New Roman"/>
          <w:b/>
          <w:bCs/>
          <w:sz w:val="24"/>
          <w:szCs w:val="24"/>
        </w:rPr>
        <w:t>lavori</w:t>
      </w:r>
      <w:r w:rsidRPr="0076483B">
        <w:rPr>
          <w:rFonts w:ascii="Times New Roman" w:hAnsi="Times New Roman" w:cs="Times New Roman"/>
          <w:sz w:val="24"/>
          <w:szCs w:val="24"/>
        </w:rPr>
        <w:t xml:space="preserve"> di realizzazione delle opere indicate e la fornitura dei relativi materiali e, pertanto, l’offerente doveva essere in possesso, sin dalla proposizione della domanda, di tutti i requisiti per realizzare quanto concretamente proposto.</w:t>
      </w:r>
    </w:p>
    <w:p w14:paraId="42AA4557" w14:textId="76F4FFB8" w:rsidR="0076483B" w:rsidRPr="0076483B" w:rsidRDefault="0076483B" w:rsidP="0076483B">
      <w:pPr>
        <w:spacing w:after="0"/>
        <w:jc w:val="both"/>
        <w:rPr>
          <w:rFonts w:ascii="Times New Roman" w:hAnsi="Times New Roman" w:cs="Times New Roman"/>
          <w:sz w:val="24"/>
          <w:szCs w:val="24"/>
        </w:rPr>
      </w:pPr>
      <w:r w:rsidRPr="0076483B">
        <w:rPr>
          <w:rFonts w:ascii="Times New Roman" w:hAnsi="Times New Roman" w:cs="Times New Roman"/>
          <w:sz w:val="24"/>
          <w:szCs w:val="24"/>
        </w:rPr>
        <w:t>Ai sensi dell’art. 14, comma 18, del d.lgs. 36/23, infatti, «I contratti che hanno per oggetto due o più tipi di prestazioni sono aggiudicati secondo le disposizioni applicabili al tipo di appalto che ne costituisce l’oggetto principale. L’oggetto principale è determinato in base all’importo stimato più elevato tra quelli delle prestazioni oggetto dell’appalto. L’operatore economico che concorre alla procedura di affidamento di un contratto misto deve possedere i requisiti di qualificazione e capacità prescritti dal codice per ciascuna prestazione di lavori, servizi e forniture prevista dal contratto».</w:t>
      </w:r>
    </w:p>
    <w:p w14:paraId="496E982E" w14:textId="37FC4C74" w:rsidR="0076483B" w:rsidRDefault="0076483B" w:rsidP="0076483B">
      <w:pPr>
        <w:spacing w:after="0"/>
        <w:jc w:val="both"/>
        <w:rPr>
          <w:rFonts w:ascii="Times New Roman" w:hAnsi="Times New Roman" w:cs="Times New Roman"/>
          <w:sz w:val="24"/>
          <w:szCs w:val="24"/>
        </w:rPr>
      </w:pPr>
      <w:r>
        <w:rPr>
          <w:rFonts w:ascii="Times New Roman" w:hAnsi="Times New Roman" w:cs="Times New Roman"/>
          <w:sz w:val="24"/>
          <w:szCs w:val="24"/>
        </w:rPr>
        <w:t>T</w:t>
      </w:r>
      <w:r w:rsidRPr="0076483B">
        <w:rPr>
          <w:rFonts w:ascii="Times New Roman" w:hAnsi="Times New Roman" w:cs="Times New Roman"/>
          <w:sz w:val="24"/>
          <w:szCs w:val="24"/>
        </w:rPr>
        <w:t xml:space="preserve">anto premesso, il Collegio non può esimersi dall’evidenziare che, in totale dissonanza con le considerazioni sopra menzionate, </w:t>
      </w:r>
      <w:r w:rsidRPr="0076483B">
        <w:rPr>
          <w:rFonts w:ascii="Times New Roman" w:hAnsi="Times New Roman" w:cs="Times New Roman"/>
          <w:b/>
          <w:bCs/>
          <w:sz w:val="24"/>
          <w:szCs w:val="24"/>
          <w:u w:val="single"/>
        </w:rPr>
        <w:t>la </w:t>
      </w:r>
      <w:proofErr w:type="spellStart"/>
      <w:r w:rsidRPr="0076483B">
        <w:rPr>
          <w:rFonts w:ascii="Times New Roman" w:hAnsi="Times New Roman" w:cs="Times New Roman"/>
          <w:b/>
          <w:bCs/>
          <w:sz w:val="24"/>
          <w:szCs w:val="24"/>
          <w:u w:val="single"/>
        </w:rPr>
        <w:t>lex</w:t>
      </w:r>
      <w:proofErr w:type="spellEnd"/>
      <w:r w:rsidRPr="0076483B">
        <w:rPr>
          <w:rFonts w:ascii="Times New Roman" w:hAnsi="Times New Roman" w:cs="Times New Roman"/>
          <w:b/>
          <w:bCs/>
          <w:sz w:val="24"/>
          <w:szCs w:val="24"/>
          <w:u w:val="single"/>
        </w:rPr>
        <w:t xml:space="preserve"> </w:t>
      </w:r>
      <w:proofErr w:type="spellStart"/>
      <w:r w:rsidRPr="0076483B">
        <w:rPr>
          <w:rFonts w:ascii="Times New Roman" w:hAnsi="Times New Roman" w:cs="Times New Roman"/>
          <w:b/>
          <w:bCs/>
          <w:sz w:val="24"/>
          <w:szCs w:val="24"/>
          <w:u w:val="single"/>
        </w:rPr>
        <w:t>specialis</w:t>
      </w:r>
      <w:proofErr w:type="spellEnd"/>
      <w:r w:rsidRPr="0076483B">
        <w:rPr>
          <w:rFonts w:ascii="Times New Roman" w:hAnsi="Times New Roman" w:cs="Times New Roman"/>
          <w:b/>
          <w:bCs/>
          <w:sz w:val="24"/>
          <w:szCs w:val="24"/>
          <w:u w:val="single"/>
        </w:rPr>
        <w:t> di gara non ha richiesto, in caso di concreta offerta dei lavori in esame, né il possesso delle certificazioni SOA né dei requisiti di cui all’art. 28 dell’allegato II. 12 al d.lgs. 36/23.</w:t>
      </w:r>
      <w:r w:rsidRPr="0076483B">
        <w:rPr>
          <w:rFonts w:ascii="Times New Roman" w:hAnsi="Times New Roman" w:cs="Times New Roman"/>
          <w:sz w:val="24"/>
          <w:szCs w:val="24"/>
        </w:rPr>
        <w:t xml:space="preserve"> Per quanto sopra esposto il ricorso è fondato e deve essere accolto, con conseguente annullamento del bando e dichiarazione di inefficacia del contratto.</w:t>
      </w:r>
    </w:p>
    <w:p w14:paraId="5D0FB086" w14:textId="388FB4A2" w:rsidR="0076483B" w:rsidRDefault="0076483B" w:rsidP="0076483B">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 </w:t>
      </w:r>
    </w:p>
    <w:p w14:paraId="03825837" w14:textId="77777777" w:rsidR="0076483B" w:rsidRPr="0076483B" w:rsidRDefault="0076483B" w:rsidP="0076483B">
      <w:pPr>
        <w:spacing w:after="0"/>
        <w:jc w:val="both"/>
        <w:rPr>
          <w:rFonts w:ascii="Times New Roman" w:hAnsi="Times New Roman" w:cs="Times New Roman"/>
          <w:b/>
          <w:bCs/>
          <w:sz w:val="24"/>
          <w:szCs w:val="24"/>
        </w:rPr>
      </w:pPr>
      <w:r w:rsidRPr="0076483B">
        <w:rPr>
          <w:rFonts w:ascii="Times New Roman" w:hAnsi="Times New Roman" w:cs="Times New Roman"/>
          <w:b/>
          <w:bCs/>
          <w:sz w:val="24"/>
          <w:szCs w:val="24"/>
        </w:rPr>
        <w:t>Tar Puglia, Bari, Sez. II, 19/02/2025, n. 244</w:t>
      </w:r>
    </w:p>
    <w:p w14:paraId="309F6E43" w14:textId="2E61CD80" w:rsidR="0076483B" w:rsidRPr="0076483B" w:rsidRDefault="0076483B" w:rsidP="0076483B">
      <w:pPr>
        <w:spacing w:after="0"/>
        <w:jc w:val="both"/>
        <w:rPr>
          <w:rFonts w:ascii="Times New Roman" w:hAnsi="Times New Roman" w:cs="Times New Roman"/>
          <w:b/>
          <w:bCs/>
          <w:i/>
          <w:iCs/>
          <w:sz w:val="24"/>
          <w:szCs w:val="24"/>
        </w:rPr>
      </w:pPr>
      <w:r w:rsidRPr="0076483B">
        <w:rPr>
          <w:rFonts w:ascii="Times New Roman" w:hAnsi="Times New Roman" w:cs="Times New Roman"/>
          <w:b/>
          <w:bCs/>
          <w:i/>
          <w:iCs/>
          <w:sz w:val="24"/>
          <w:szCs w:val="24"/>
        </w:rPr>
        <w:t>Sull’inapplicabilità del soccorso istruttorio al fine di modificare i servizi analoghi indicati dal concorrente in sede di gara</w:t>
      </w:r>
    </w:p>
    <w:p w14:paraId="5DDBC3AA" w14:textId="77777777" w:rsidR="0076483B" w:rsidRDefault="0076483B" w:rsidP="0076483B">
      <w:pPr>
        <w:spacing w:after="0"/>
        <w:jc w:val="both"/>
        <w:rPr>
          <w:rFonts w:ascii="Times New Roman" w:hAnsi="Times New Roman" w:cs="Times New Roman"/>
          <w:sz w:val="24"/>
          <w:szCs w:val="24"/>
        </w:rPr>
      </w:pPr>
      <w:r w:rsidRPr="0076483B">
        <w:rPr>
          <w:rFonts w:ascii="Times New Roman" w:hAnsi="Times New Roman" w:cs="Times New Roman"/>
          <w:sz w:val="24"/>
          <w:szCs w:val="24"/>
        </w:rPr>
        <w:t xml:space="preserve">La difesa dell’Amministrazione ha altresì richiamato a sostegno dell’infondatezza del terzo motivo la recente delibera Anac n. 60 del 07/02/2024, che ha chiarito quanto segue: ”Nelle procedure per l’affidamento di servizi, </w:t>
      </w:r>
      <w:r w:rsidRPr="0076483B">
        <w:rPr>
          <w:rFonts w:ascii="Times New Roman" w:hAnsi="Times New Roman" w:cs="Times New Roman"/>
          <w:b/>
          <w:bCs/>
          <w:sz w:val="24"/>
          <w:szCs w:val="24"/>
        </w:rPr>
        <w:t>il concorrente non può modificare l’elenco dei servizi analoghi indicati tramite la procedura del soccorso istruttorio</w:t>
      </w:r>
      <w:r w:rsidRPr="0076483B">
        <w:rPr>
          <w:rFonts w:ascii="Times New Roman" w:hAnsi="Times New Roman" w:cs="Times New Roman"/>
          <w:sz w:val="24"/>
          <w:szCs w:val="24"/>
        </w:rPr>
        <w:t xml:space="preserve"> di cui all’art. 101 co.1 lett. b) né con quella del soccorso procedimentale di cui al co.3 dello stesso articolo del D.lgs. n. 36/2023, al fine di spendere </w:t>
      </w:r>
      <w:r w:rsidRPr="0076483B">
        <w:rPr>
          <w:rFonts w:ascii="Times New Roman" w:hAnsi="Times New Roman" w:cs="Times New Roman"/>
          <w:b/>
          <w:bCs/>
          <w:sz w:val="24"/>
          <w:szCs w:val="24"/>
        </w:rPr>
        <w:t>servizi diversi da quelli indicati in sede di offerta</w:t>
      </w:r>
      <w:r w:rsidRPr="0076483B">
        <w:rPr>
          <w:rFonts w:ascii="Times New Roman" w:hAnsi="Times New Roman" w:cs="Times New Roman"/>
          <w:sz w:val="24"/>
          <w:szCs w:val="24"/>
        </w:rPr>
        <w:t>, per superare il vaglio dell’analogia rimesso alla discrezionalità della stazione appaltante”.</w:t>
      </w:r>
    </w:p>
    <w:p w14:paraId="6F55CA11" w14:textId="4ABA03EF" w:rsidR="0076483B" w:rsidRDefault="0076483B" w:rsidP="0076483B">
      <w:pPr>
        <w:spacing w:after="0"/>
        <w:jc w:val="both"/>
        <w:rPr>
          <w:rFonts w:ascii="Times New Roman" w:hAnsi="Times New Roman" w:cs="Times New Roman"/>
          <w:b/>
          <w:bCs/>
          <w:sz w:val="24"/>
          <w:szCs w:val="24"/>
        </w:rPr>
      </w:pPr>
      <w:r w:rsidRPr="0076483B">
        <w:rPr>
          <w:rFonts w:ascii="Times New Roman" w:hAnsi="Times New Roman" w:cs="Times New Roman"/>
          <w:sz w:val="24"/>
          <w:szCs w:val="24"/>
        </w:rPr>
        <w:t xml:space="preserve">Alla luce del principio di autoresponsabilità che grava sulle imprese partecipanti alle gare pubbliche e che ha condotto in modo univoco la giurisprudenza a negare il </w:t>
      </w:r>
      <w:r w:rsidRPr="0076483B">
        <w:rPr>
          <w:rFonts w:ascii="Times New Roman" w:hAnsi="Times New Roman" w:cs="Times New Roman"/>
          <w:b/>
          <w:bCs/>
          <w:sz w:val="24"/>
          <w:szCs w:val="24"/>
        </w:rPr>
        <w:t>soccorso istruttorio per la comprova dei requisiti consapevolmente dichiarati dal concorrente</w:t>
      </w:r>
      <w:r w:rsidRPr="0076483B">
        <w:rPr>
          <w:rFonts w:ascii="Times New Roman" w:hAnsi="Times New Roman" w:cs="Times New Roman"/>
          <w:sz w:val="24"/>
          <w:szCs w:val="24"/>
        </w:rPr>
        <w:t xml:space="preserve"> (cfr., da ultimo, C.d.S., Sez. V, 12 febbraio 2024, n. 1372). Ed invero, nell’ambito del settore dell’evidenza pubblica, i principi </w:t>
      </w:r>
      <w:r w:rsidRPr="0076483B">
        <w:rPr>
          <w:rFonts w:ascii="Times New Roman" w:hAnsi="Times New Roman" w:cs="Times New Roman"/>
          <w:sz w:val="24"/>
          <w:szCs w:val="24"/>
        </w:rPr>
        <w:lastRenderedPageBreak/>
        <w:t>del </w:t>
      </w:r>
      <w:r w:rsidRPr="0076483B">
        <w:rPr>
          <w:rFonts w:ascii="Times New Roman" w:hAnsi="Times New Roman" w:cs="Times New Roman"/>
          <w:b/>
          <w:bCs/>
          <w:sz w:val="24"/>
          <w:szCs w:val="24"/>
        </w:rPr>
        <w:t xml:space="preserve">favor </w:t>
      </w:r>
      <w:proofErr w:type="spellStart"/>
      <w:r w:rsidRPr="0076483B">
        <w:rPr>
          <w:rFonts w:ascii="Times New Roman" w:hAnsi="Times New Roman" w:cs="Times New Roman"/>
          <w:b/>
          <w:bCs/>
          <w:sz w:val="24"/>
          <w:szCs w:val="24"/>
        </w:rPr>
        <w:t>partecipationis</w:t>
      </w:r>
      <w:proofErr w:type="spellEnd"/>
      <w:r w:rsidRPr="0076483B">
        <w:rPr>
          <w:rFonts w:ascii="Times New Roman" w:hAnsi="Times New Roman" w:cs="Times New Roman"/>
          <w:b/>
          <w:bCs/>
          <w:sz w:val="24"/>
          <w:szCs w:val="24"/>
        </w:rPr>
        <w:t> e del risultato</w:t>
      </w:r>
      <w:r w:rsidRPr="0076483B">
        <w:rPr>
          <w:rFonts w:ascii="Times New Roman" w:hAnsi="Times New Roman" w:cs="Times New Roman"/>
          <w:sz w:val="24"/>
          <w:szCs w:val="24"/>
        </w:rPr>
        <w:t xml:space="preserve"> non possono mai confliggere con il principio della </w:t>
      </w:r>
      <w:r w:rsidRPr="0076483B">
        <w:rPr>
          <w:rFonts w:ascii="Times New Roman" w:hAnsi="Times New Roman" w:cs="Times New Roman"/>
          <w:b/>
          <w:bCs/>
          <w:sz w:val="24"/>
          <w:szCs w:val="24"/>
        </w:rPr>
        <w:t>par condicio fra i concorrenti</w:t>
      </w:r>
      <w:r>
        <w:rPr>
          <w:rFonts w:ascii="Times New Roman" w:hAnsi="Times New Roman" w:cs="Times New Roman"/>
          <w:b/>
          <w:bCs/>
          <w:sz w:val="24"/>
          <w:szCs w:val="24"/>
        </w:rPr>
        <w:t>.</w:t>
      </w:r>
    </w:p>
    <w:p w14:paraId="74E5AAD0" w14:textId="0D3415B9" w:rsidR="0076483B" w:rsidRDefault="0076483B" w:rsidP="0076483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 </w:t>
      </w:r>
      <w:r w:rsidR="00767F01">
        <w:rPr>
          <w:rFonts w:ascii="Times New Roman" w:hAnsi="Times New Roman" w:cs="Times New Roman"/>
          <w:b/>
          <w:bCs/>
          <w:sz w:val="24"/>
          <w:szCs w:val="24"/>
        </w:rPr>
        <w:t xml:space="preserve"> </w:t>
      </w:r>
    </w:p>
    <w:p w14:paraId="68E567CC" w14:textId="0CED3C50" w:rsidR="00767F01" w:rsidRPr="00767F01" w:rsidRDefault="00767F01" w:rsidP="0076483B">
      <w:pPr>
        <w:spacing w:after="0"/>
        <w:jc w:val="both"/>
        <w:rPr>
          <w:rFonts w:ascii="Times New Roman" w:hAnsi="Times New Roman" w:cs="Times New Roman"/>
          <w:b/>
          <w:bCs/>
          <w:sz w:val="24"/>
          <w:szCs w:val="24"/>
        </w:rPr>
      </w:pPr>
      <w:r w:rsidRPr="00767F01">
        <w:rPr>
          <w:rFonts w:ascii="Times New Roman" w:hAnsi="Times New Roman" w:cs="Times New Roman"/>
          <w:b/>
          <w:bCs/>
          <w:sz w:val="24"/>
          <w:szCs w:val="24"/>
        </w:rPr>
        <w:t xml:space="preserve">Tar Toscana, </w:t>
      </w:r>
      <w:r>
        <w:rPr>
          <w:rFonts w:ascii="Times New Roman" w:hAnsi="Times New Roman" w:cs="Times New Roman"/>
          <w:b/>
          <w:bCs/>
          <w:sz w:val="24"/>
          <w:szCs w:val="24"/>
        </w:rPr>
        <w:t xml:space="preserve">Firenze, </w:t>
      </w:r>
      <w:r w:rsidRPr="00767F01">
        <w:rPr>
          <w:rFonts w:ascii="Times New Roman" w:hAnsi="Times New Roman" w:cs="Times New Roman"/>
          <w:b/>
          <w:bCs/>
          <w:sz w:val="24"/>
          <w:szCs w:val="24"/>
        </w:rPr>
        <w:t>Sez. IV, 17/02/2025, n. 266</w:t>
      </w:r>
    </w:p>
    <w:p w14:paraId="23438DFA" w14:textId="27650108" w:rsidR="00767F01" w:rsidRPr="00767F01" w:rsidRDefault="00767F01" w:rsidP="0076483B">
      <w:pPr>
        <w:spacing w:after="0"/>
        <w:jc w:val="both"/>
        <w:rPr>
          <w:rFonts w:ascii="Times New Roman" w:hAnsi="Times New Roman" w:cs="Times New Roman"/>
          <w:b/>
          <w:bCs/>
          <w:i/>
          <w:iCs/>
          <w:sz w:val="24"/>
          <w:szCs w:val="24"/>
        </w:rPr>
      </w:pPr>
      <w:r w:rsidRPr="00767F01">
        <w:rPr>
          <w:rFonts w:ascii="Times New Roman" w:hAnsi="Times New Roman" w:cs="Times New Roman"/>
          <w:b/>
          <w:bCs/>
          <w:i/>
          <w:iCs/>
          <w:sz w:val="24"/>
          <w:szCs w:val="24"/>
        </w:rPr>
        <w:t>Sulla legittimità della riapertura dei termini in caso di malfunzionamento della piattaforma</w:t>
      </w:r>
    </w:p>
    <w:p w14:paraId="77F5A534" w14:textId="7E306FF2" w:rsidR="00767F01" w:rsidRPr="00767F01" w:rsidRDefault="00767F01" w:rsidP="0076483B">
      <w:pPr>
        <w:spacing w:after="0"/>
        <w:jc w:val="both"/>
        <w:rPr>
          <w:rFonts w:ascii="Times New Roman" w:hAnsi="Times New Roman" w:cs="Times New Roman"/>
          <w:sz w:val="24"/>
          <w:szCs w:val="24"/>
        </w:rPr>
      </w:pPr>
      <w:r w:rsidRPr="00767F01">
        <w:rPr>
          <w:rFonts w:ascii="Times New Roman" w:hAnsi="Times New Roman" w:cs="Times New Roman"/>
          <w:sz w:val="24"/>
          <w:szCs w:val="24"/>
        </w:rPr>
        <w:t xml:space="preserve">Come esattamente rilevato dalla ricorrente, al centro dell’intera problematica è la previsione di cui all’art 25, 2° comma </w:t>
      </w:r>
      <w:proofErr w:type="spellStart"/>
      <w:r w:rsidRPr="00767F01">
        <w:rPr>
          <w:rFonts w:ascii="Times New Roman" w:hAnsi="Times New Roman" w:cs="Times New Roman"/>
          <w:sz w:val="24"/>
          <w:szCs w:val="24"/>
        </w:rPr>
        <w:t>ult</w:t>
      </w:r>
      <w:proofErr w:type="spellEnd"/>
      <w:r w:rsidRPr="00767F01">
        <w:rPr>
          <w:rFonts w:ascii="Times New Roman" w:hAnsi="Times New Roman" w:cs="Times New Roman"/>
          <w:sz w:val="24"/>
          <w:szCs w:val="24"/>
        </w:rPr>
        <w:t>. parte del d.lgs. 31 marzo 2023, n. 36 (nuovo codice dei contratti pubblici) che reca una previsione dal seguente tenore: “le stazioni appaltanti e gli enti concedenti assicurano la partecipazione alla gara anche in caso di comprovato malfunzionamento, pur se temporaneo, delle piattaforme, anche eventualmente disponendo la sospensione del termine per la ricezione delle offerte per il periodo di tempo necessario a ripristinare il normale funzionamento e la proroga dello stesso per una durata proporzionale alla gravità del malfunzionamento”.</w:t>
      </w:r>
    </w:p>
    <w:p w14:paraId="582BABF8" w14:textId="676A7265" w:rsidR="0076483B" w:rsidRDefault="00767F01" w:rsidP="00767F01">
      <w:pPr>
        <w:spacing w:after="0"/>
        <w:jc w:val="both"/>
        <w:rPr>
          <w:rFonts w:ascii="Times New Roman" w:hAnsi="Times New Roman" w:cs="Times New Roman"/>
          <w:sz w:val="24"/>
          <w:szCs w:val="24"/>
        </w:rPr>
      </w:pPr>
      <w:r w:rsidRPr="00767F01">
        <w:rPr>
          <w:rFonts w:ascii="Times New Roman" w:hAnsi="Times New Roman" w:cs="Times New Roman"/>
          <w:sz w:val="24"/>
          <w:szCs w:val="24"/>
        </w:rPr>
        <w:t xml:space="preserve">In questa prospettiva, non sussistono pertanto particolari ostacoli di principio ad ammettere che la garanzia della possibilità degli operatori interessati di poter partecipare alla gara possa concretizzarsi nella riapertura di termini ormai scaduti (come effettivamente è nella vicenda che ci occupa) o in altri “correttivi”, non sussistendo alcun obbligo di utilizzare solo l’istituto della proroga del termine (come sostanzialmente prospettato da parte ricorrente); quel che conta è che la misura, di volta adottata, risulti idonea ad assicurare, in concreto, l’obbligo cui la “Stazione appaltante è tenuta, nelle forme più adeguate alla fattispecie, …(di) offrire la possibilità all’operatore economico di presentare la propria offerta, garantendo la par condicio </w:t>
      </w:r>
      <w:proofErr w:type="spellStart"/>
      <w:r w:rsidRPr="00767F01">
        <w:rPr>
          <w:rFonts w:ascii="Times New Roman" w:hAnsi="Times New Roman" w:cs="Times New Roman"/>
          <w:sz w:val="24"/>
          <w:szCs w:val="24"/>
        </w:rPr>
        <w:t>competitorum</w:t>
      </w:r>
      <w:proofErr w:type="spellEnd"/>
      <w:r w:rsidRPr="00767F01">
        <w:rPr>
          <w:rFonts w:ascii="Times New Roman" w:hAnsi="Times New Roman" w:cs="Times New Roman"/>
          <w:sz w:val="24"/>
          <w:szCs w:val="24"/>
        </w:rPr>
        <w:t>” (T.A.R. Campania, Napoli, sez. V, 4 novembre 2020, n. 5026)</w:t>
      </w:r>
      <w:r>
        <w:rPr>
          <w:rFonts w:ascii="Times New Roman" w:hAnsi="Times New Roman" w:cs="Times New Roman"/>
          <w:sz w:val="24"/>
          <w:szCs w:val="24"/>
        </w:rPr>
        <w:t xml:space="preserve">. </w:t>
      </w:r>
      <w:r w:rsidRPr="00767F01">
        <w:rPr>
          <w:rFonts w:ascii="Times New Roman" w:hAnsi="Times New Roman" w:cs="Times New Roman"/>
          <w:sz w:val="24"/>
          <w:szCs w:val="24"/>
        </w:rPr>
        <w:t>Perché la riapertura del termine possa risultare legittima devono essere però soddisfatte due condizioni.</w:t>
      </w:r>
      <w:r>
        <w:rPr>
          <w:rFonts w:ascii="Times New Roman" w:hAnsi="Times New Roman" w:cs="Times New Roman"/>
          <w:sz w:val="24"/>
          <w:szCs w:val="24"/>
        </w:rPr>
        <w:t xml:space="preserve"> </w:t>
      </w:r>
      <w:r w:rsidRPr="00767F01">
        <w:rPr>
          <w:rFonts w:ascii="Times New Roman" w:hAnsi="Times New Roman" w:cs="Times New Roman"/>
          <w:sz w:val="24"/>
          <w:szCs w:val="24"/>
        </w:rPr>
        <w:t>La prima, spesso sottolineata ed ormai “messa a fuoco” dalla giurisprudenza sopra richiamata, è che il malfunzionamento sia effettivamente imputabile alla Stazione appaltante (o al gestore della piattaforma) e non all’operatore economico; nella vicenda che ci occupa, la stessa prospettazione della ricorrente chiarisce come il malfunzionamento della piattaforma derivi dal “chiarimento” (certo non ben meditato) del 24 giugno 2024 della Stazione appaltante che ha determinato il tentativo non riuscito di tutti i concorrenti di caricare sul sistema domande di partecipazione mancanti del D.G.U.E. e che non potevano essere caricate sulla piattaforma.</w:t>
      </w:r>
    </w:p>
    <w:p w14:paraId="72D033D0" w14:textId="55FD69F7" w:rsidR="00767F01" w:rsidRDefault="00767F01" w:rsidP="00767F01">
      <w:pPr>
        <w:spacing w:after="0"/>
        <w:jc w:val="both"/>
        <w:rPr>
          <w:rFonts w:ascii="Times New Roman" w:hAnsi="Times New Roman" w:cs="Times New Roman"/>
          <w:sz w:val="24"/>
          <w:szCs w:val="24"/>
        </w:rPr>
      </w:pPr>
      <w:r>
        <w:rPr>
          <w:rFonts w:ascii="Times New Roman" w:hAnsi="Times New Roman" w:cs="Times New Roman"/>
          <w:sz w:val="24"/>
          <w:szCs w:val="24"/>
        </w:rPr>
        <w:t>L</w:t>
      </w:r>
      <w:r w:rsidRPr="00767F01">
        <w:rPr>
          <w:rFonts w:ascii="Times New Roman" w:hAnsi="Times New Roman" w:cs="Times New Roman"/>
          <w:sz w:val="24"/>
          <w:szCs w:val="24"/>
        </w:rPr>
        <w:t>a problematica di malfunzionamento era quindi oggettiva e non imputabile ai concorrenti e non si può cercare di imputare la mancata presentazione della domanda solo alla negligenza della controinteressata (come la ricorrente cerca di fare, con gli ultimi scritti difensivi ed in una prospettiva che, come già rilevato, non può che risultare contraddittoria con quanto prospettato al primo motivo di ricorso).</w:t>
      </w:r>
      <w:r>
        <w:rPr>
          <w:rFonts w:ascii="Times New Roman" w:hAnsi="Times New Roman" w:cs="Times New Roman"/>
          <w:sz w:val="24"/>
          <w:szCs w:val="24"/>
        </w:rPr>
        <w:t xml:space="preserve"> </w:t>
      </w:r>
    </w:p>
    <w:p w14:paraId="58224353" w14:textId="1DB3AE8B" w:rsidR="00767F01" w:rsidRDefault="00767F01" w:rsidP="00767F01">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p>
    <w:p w14:paraId="3D3E5C42" w14:textId="00FD3EC9" w:rsidR="00767F01" w:rsidRPr="00767F01" w:rsidRDefault="00767F01" w:rsidP="00767F01">
      <w:pPr>
        <w:spacing w:after="0"/>
        <w:jc w:val="both"/>
        <w:rPr>
          <w:rFonts w:ascii="Times New Roman" w:hAnsi="Times New Roman" w:cs="Times New Roman"/>
          <w:b/>
          <w:bCs/>
          <w:sz w:val="24"/>
          <w:szCs w:val="24"/>
        </w:rPr>
      </w:pPr>
      <w:r w:rsidRPr="00767F01">
        <w:rPr>
          <w:rFonts w:ascii="Times New Roman" w:hAnsi="Times New Roman" w:cs="Times New Roman"/>
          <w:b/>
          <w:bCs/>
          <w:sz w:val="24"/>
          <w:szCs w:val="24"/>
        </w:rPr>
        <w:t>T.A.R. Campania, I, 31 gennaio 2025, n. 861</w:t>
      </w:r>
    </w:p>
    <w:p w14:paraId="1026AA95" w14:textId="5576B2B5" w:rsidR="00767F01" w:rsidRPr="00767F01" w:rsidRDefault="00767F01" w:rsidP="00767F01">
      <w:pPr>
        <w:spacing w:after="0"/>
        <w:jc w:val="both"/>
        <w:rPr>
          <w:rFonts w:ascii="Times New Roman" w:hAnsi="Times New Roman" w:cs="Times New Roman"/>
          <w:b/>
          <w:bCs/>
          <w:i/>
          <w:iCs/>
          <w:sz w:val="24"/>
          <w:szCs w:val="24"/>
        </w:rPr>
      </w:pPr>
      <w:r w:rsidRPr="00767F01">
        <w:rPr>
          <w:rFonts w:ascii="Times New Roman" w:hAnsi="Times New Roman" w:cs="Times New Roman"/>
          <w:b/>
          <w:bCs/>
          <w:i/>
          <w:iCs/>
          <w:sz w:val="24"/>
          <w:szCs w:val="24"/>
        </w:rPr>
        <w:t>Sull’ammissibilità (in caso di procedure con più segmenti procedim</w:t>
      </w:r>
      <w:r w:rsidR="00482CFA">
        <w:rPr>
          <w:rFonts w:ascii="Times New Roman" w:hAnsi="Times New Roman" w:cs="Times New Roman"/>
          <w:b/>
          <w:bCs/>
          <w:i/>
          <w:iCs/>
          <w:sz w:val="24"/>
          <w:szCs w:val="24"/>
        </w:rPr>
        <w:t>e</w:t>
      </w:r>
      <w:r w:rsidRPr="00767F01">
        <w:rPr>
          <w:rFonts w:ascii="Times New Roman" w:hAnsi="Times New Roman" w:cs="Times New Roman"/>
          <w:b/>
          <w:bCs/>
          <w:i/>
          <w:iCs/>
          <w:sz w:val="24"/>
          <w:szCs w:val="24"/>
        </w:rPr>
        <w:t>ntali) della modifica soggettiva prima della presentazione dell’offerta.</w:t>
      </w:r>
    </w:p>
    <w:p w14:paraId="275491C5" w14:textId="244F456A" w:rsidR="00767F01" w:rsidRPr="00767F01" w:rsidRDefault="00767F01" w:rsidP="00767F01">
      <w:pPr>
        <w:spacing w:after="0"/>
        <w:jc w:val="both"/>
        <w:rPr>
          <w:rFonts w:ascii="Times New Roman" w:hAnsi="Times New Roman" w:cs="Times New Roman"/>
          <w:b/>
          <w:bCs/>
          <w:sz w:val="24"/>
          <w:szCs w:val="24"/>
        </w:rPr>
      </w:pPr>
      <w:r w:rsidRPr="00767F01">
        <w:rPr>
          <w:rFonts w:ascii="Times New Roman" w:hAnsi="Times New Roman" w:cs="Times New Roman"/>
          <w:sz w:val="24"/>
          <w:szCs w:val="24"/>
        </w:rPr>
        <w:t xml:space="preserve">Al contrario, nelle procedure articolate su </w:t>
      </w:r>
      <w:r w:rsidRPr="00767F01">
        <w:rPr>
          <w:rFonts w:ascii="Times New Roman" w:hAnsi="Times New Roman" w:cs="Times New Roman"/>
          <w:b/>
          <w:bCs/>
          <w:sz w:val="24"/>
          <w:szCs w:val="24"/>
        </w:rPr>
        <w:t>più segmenti procedimentali</w:t>
      </w:r>
      <w:r w:rsidRPr="00767F01">
        <w:rPr>
          <w:rFonts w:ascii="Times New Roman" w:hAnsi="Times New Roman" w:cs="Times New Roman"/>
          <w:sz w:val="24"/>
          <w:szCs w:val="24"/>
        </w:rPr>
        <w:t xml:space="preserve"> (procedure ristrette, negoziate, dialogo competitivo), la giurisprudenza ammette pacificamente la </w:t>
      </w:r>
      <w:r w:rsidRPr="00767F01">
        <w:rPr>
          <w:rFonts w:ascii="Times New Roman" w:hAnsi="Times New Roman" w:cs="Times New Roman"/>
          <w:b/>
          <w:bCs/>
          <w:sz w:val="24"/>
          <w:szCs w:val="24"/>
        </w:rPr>
        <w:t>modificazione soggettiva dell’operatore partecipante prima della presentazione dell’offerta</w:t>
      </w:r>
      <w:r w:rsidRPr="00767F01">
        <w:rPr>
          <w:rFonts w:ascii="Times New Roman" w:hAnsi="Times New Roman" w:cs="Times New Roman"/>
          <w:sz w:val="24"/>
          <w:szCs w:val="24"/>
        </w:rPr>
        <w:t>, anche perché lo stesso art. 48, comma 9, secondo periodo, del d.lgs. n. 50 del 2016, applicabile </w:t>
      </w:r>
      <w:r w:rsidRPr="00767F01">
        <w:rPr>
          <w:rFonts w:ascii="Times New Roman" w:hAnsi="Times New Roman" w:cs="Times New Roman"/>
          <w:i/>
          <w:iCs/>
          <w:sz w:val="24"/>
          <w:szCs w:val="24"/>
        </w:rPr>
        <w:t>ratione temporis</w:t>
      </w:r>
      <w:r w:rsidRPr="00767F01">
        <w:rPr>
          <w:rFonts w:ascii="Times New Roman" w:hAnsi="Times New Roman" w:cs="Times New Roman"/>
          <w:sz w:val="24"/>
          <w:szCs w:val="24"/>
        </w:rPr>
        <w:t> al caso, vietava “</w:t>
      </w:r>
      <w:r w:rsidRPr="00767F01">
        <w:rPr>
          <w:rFonts w:ascii="Times New Roman" w:hAnsi="Times New Roman" w:cs="Times New Roman"/>
          <w:i/>
          <w:iCs/>
          <w:sz w:val="24"/>
          <w:szCs w:val="24"/>
        </w:rPr>
        <w:t>Salvo quanto disposto ai commi 17 e 18, (…) qualsiasi modificazione alla composizione dei raggruppamenti temporanei e dei consorzi ordinari di concorrenti rispetto a quella risultante dall’impegno presentato in sede di offerta</w:t>
      </w:r>
      <w:r w:rsidRPr="00767F01">
        <w:rPr>
          <w:rFonts w:ascii="Times New Roman" w:hAnsi="Times New Roman" w:cs="Times New Roman"/>
          <w:sz w:val="24"/>
          <w:szCs w:val="24"/>
        </w:rPr>
        <w:t xml:space="preserve">”, rendendo immutabile la composizione soggettiva dell’offerente solo a seguito della presentazione dell’offerta. Ciò implicitamente ammetteva la </w:t>
      </w:r>
      <w:r w:rsidRPr="00767F01">
        <w:rPr>
          <w:rFonts w:ascii="Times New Roman" w:hAnsi="Times New Roman" w:cs="Times New Roman"/>
          <w:b/>
          <w:bCs/>
          <w:sz w:val="24"/>
          <w:szCs w:val="24"/>
        </w:rPr>
        <w:t xml:space="preserve">possibilità della modificazione soggettiva nella fase compresa tra la manifestazione </w:t>
      </w:r>
      <w:r w:rsidRPr="00767F01">
        <w:rPr>
          <w:rFonts w:ascii="Times New Roman" w:hAnsi="Times New Roman" w:cs="Times New Roman"/>
          <w:b/>
          <w:bCs/>
          <w:sz w:val="24"/>
          <w:szCs w:val="24"/>
        </w:rPr>
        <w:lastRenderedPageBreak/>
        <w:t>di interesse a partecipare alla gara e la presentazione dell’offerta dopo il ricevimento dell’invito ad offrire.</w:t>
      </w:r>
    </w:p>
    <w:p w14:paraId="144580C9" w14:textId="5558E798" w:rsidR="00767F01" w:rsidRDefault="00767F01" w:rsidP="00767F01">
      <w:pPr>
        <w:spacing w:after="0"/>
        <w:jc w:val="both"/>
        <w:rPr>
          <w:rFonts w:ascii="Times New Roman" w:hAnsi="Times New Roman" w:cs="Times New Roman"/>
          <w:sz w:val="24"/>
          <w:szCs w:val="24"/>
        </w:rPr>
      </w:pPr>
      <w:r w:rsidRPr="00767F01">
        <w:rPr>
          <w:rFonts w:ascii="Times New Roman" w:hAnsi="Times New Roman" w:cs="Times New Roman"/>
          <w:sz w:val="24"/>
          <w:szCs w:val="24"/>
        </w:rPr>
        <w:t xml:space="preserve">Quanto al caso di specie, la procedura di affidamento diretto sotto-soglia </w:t>
      </w:r>
      <w:r w:rsidRPr="00767F01">
        <w:rPr>
          <w:rFonts w:ascii="Times New Roman" w:hAnsi="Times New Roman" w:cs="Times New Roman"/>
          <w:b/>
          <w:bCs/>
          <w:sz w:val="24"/>
          <w:szCs w:val="24"/>
        </w:rPr>
        <w:t>non conteneva alcun divieto</w:t>
      </w:r>
      <w:r w:rsidRPr="00767F01">
        <w:rPr>
          <w:rFonts w:ascii="Times New Roman" w:hAnsi="Times New Roman" w:cs="Times New Roman"/>
          <w:sz w:val="24"/>
          <w:szCs w:val="24"/>
        </w:rPr>
        <w:t xml:space="preserve"> a presentare offerta congiunta da parte di operatori qualificatisi singolarmente.</w:t>
      </w:r>
      <w:r>
        <w:rPr>
          <w:rFonts w:ascii="Times New Roman" w:hAnsi="Times New Roman" w:cs="Times New Roman"/>
          <w:sz w:val="24"/>
          <w:szCs w:val="24"/>
        </w:rPr>
        <w:t xml:space="preserve"> </w:t>
      </w:r>
    </w:p>
    <w:p w14:paraId="3E1B2A36" w14:textId="06FC970D" w:rsidR="00767F01" w:rsidRDefault="00767F01" w:rsidP="00767F01">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
    <w:p w14:paraId="3F56767D" w14:textId="095D1096" w:rsidR="00767F01" w:rsidRPr="00B15374" w:rsidRDefault="00B15374" w:rsidP="00767F01">
      <w:pPr>
        <w:spacing w:after="0"/>
        <w:jc w:val="both"/>
        <w:rPr>
          <w:rFonts w:ascii="Times New Roman" w:hAnsi="Times New Roman" w:cs="Times New Roman"/>
          <w:b/>
          <w:bCs/>
          <w:sz w:val="24"/>
          <w:szCs w:val="24"/>
        </w:rPr>
      </w:pPr>
      <w:r w:rsidRPr="00B15374">
        <w:rPr>
          <w:rFonts w:ascii="Times New Roman" w:hAnsi="Times New Roman" w:cs="Times New Roman"/>
          <w:b/>
          <w:bCs/>
          <w:sz w:val="24"/>
          <w:szCs w:val="24"/>
        </w:rPr>
        <w:t>T.A.R. Sardegna, II, 25 febbraio 2025, n. 153</w:t>
      </w:r>
    </w:p>
    <w:p w14:paraId="2E24494B" w14:textId="39A64126" w:rsidR="00B15374" w:rsidRPr="00B15374" w:rsidRDefault="00B15374" w:rsidP="00767F01">
      <w:pPr>
        <w:spacing w:after="0"/>
        <w:jc w:val="both"/>
        <w:rPr>
          <w:rFonts w:ascii="Times New Roman" w:hAnsi="Times New Roman" w:cs="Times New Roman"/>
          <w:b/>
          <w:bCs/>
          <w:i/>
          <w:iCs/>
          <w:sz w:val="24"/>
          <w:szCs w:val="24"/>
        </w:rPr>
      </w:pPr>
      <w:r w:rsidRPr="00B15374">
        <w:rPr>
          <w:rFonts w:ascii="Times New Roman" w:hAnsi="Times New Roman" w:cs="Times New Roman"/>
          <w:b/>
          <w:bCs/>
          <w:i/>
          <w:iCs/>
          <w:sz w:val="24"/>
          <w:szCs w:val="24"/>
        </w:rPr>
        <w:t>Sulla rotazione dei Commissari di gara</w:t>
      </w:r>
    </w:p>
    <w:p w14:paraId="6B3F5FAA" w14:textId="0A090276" w:rsidR="0076483B" w:rsidRPr="0076483B" w:rsidRDefault="00B15374" w:rsidP="0076483B">
      <w:pPr>
        <w:spacing w:after="0"/>
        <w:jc w:val="both"/>
        <w:rPr>
          <w:rFonts w:ascii="Times New Roman" w:hAnsi="Times New Roman" w:cs="Times New Roman"/>
          <w:sz w:val="24"/>
          <w:szCs w:val="24"/>
        </w:rPr>
      </w:pPr>
      <w:r>
        <w:rPr>
          <w:rFonts w:ascii="Times New Roman" w:hAnsi="Times New Roman" w:cs="Times New Roman"/>
          <w:sz w:val="24"/>
          <w:szCs w:val="24"/>
        </w:rPr>
        <w:t>T</w:t>
      </w:r>
      <w:r w:rsidRPr="00B15374">
        <w:rPr>
          <w:rFonts w:ascii="Times New Roman" w:hAnsi="Times New Roman" w:cs="Times New Roman"/>
          <w:sz w:val="24"/>
          <w:szCs w:val="24"/>
        </w:rPr>
        <w:t xml:space="preserve">ale principio non possa ritenersi violato in virtù del fatto che il </w:t>
      </w:r>
      <w:r w:rsidRPr="00B15374">
        <w:rPr>
          <w:rFonts w:ascii="Times New Roman" w:hAnsi="Times New Roman" w:cs="Times New Roman"/>
          <w:b/>
          <w:bCs/>
          <w:sz w:val="24"/>
          <w:szCs w:val="24"/>
        </w:rPr>
        <w:t xml:space="preserve">Commissario </w:t>
      </w:r>
      <w:proofErr w:type="gramStart"/>
      <w:r w:rsidRPr="00B15374">
        <w:rPr>
          <w:rFonts w:ascii="Times New Roman" w:hAnsi="Times New Roman" w:cs="Times New Roman"/>
          <w:b/>
          <w:bCs/>
          <w:sz w:val="24"/>
          <w:szCs w:val="24"/>
        </w:rPr>
        <w:t>esterno  abbia</w:t>
      </w:r>
      <w:proofErr w:type="gramEnd"/>
      <w:r w:rsidRPr="00B15374">
        <w:rPr>
          <w:rFonts w:ascii="Times New Roman" w:hAnsi="Times New Roman" w:cs="Times New Roman"/>
          <w:b/>
          <w:bCs/>
          <w:sz w:val="24"/>
          <w:szCs w:val="24"/>
        </w:rPr>
        <w:t xml:space="preserve"> contemporaneamente fatto parte di una diversa commissione di gara, operante nell’ambito di una procedura bandita da una diversa Stazione appaltante</w:t>
      </w:r>
      <w:r w:rsidRPr="00B15374">
        <w:rPr>
          <w:rFonts w:ascii="Times New Roman" w:hAnsi="Times New Roman" w:cs="Times New Roman"/>
          <w:sz w:val="24"/>
          <w:szCs w:val="24"/>
        </w:rPr>
        <w:t xml:space="preserve">. Invero, il </w:t>
      </w:r>
      <w:r w:rsidRPr="00B15374">
        <w:rPr>
          <w:rFonts w:ascii="Times New Roman" w:hAnsi="Times New Roman" w:cs="Times New Roman"/>
          <w:b/>
          <w:bCs/>
          <w:sz w:val="24"/>
          <w:szCs w:val="24"/>
        </w:rPr>
        <w:t>principio di rotazione</w:t>
      </w:r>
      <w:r w:rsidRPr="00B15374">
        <w:rPr>
          <w:rFonts w:ascii="Times New Roman" w:hAnsi="Times New Roman" w:cs="Times New Roman"/>
          <w:sz w:val="24"/>
          <w:szCs w:val="24"/>
        </w:rPr>
        <w:t xml:space="preserve"> ha il suo ambito di applicazione con riferimento alla composizione delle Commissioni di gara da parte della </w:t>
      </w:r>
      <w:r w:rsidRPr="00B15374">
        <w:rPr>
          <w:rFonts w:ascii="Times New Roman" w:hAnsi="Times New Roman" w:cs="Times New Roman"/>
          <w:b/>
          <w:bCs/>
          <w:sz w:val="24"/>
          <w:szCs w:val="24"/>
        </w:rPr>
        <w:t>stessa Stazione appaltante</w:t>
      </w:r>
      <w:r w:rsidRPr="00B15374">
        <w:rPr>
          <w:rFonts w:ascii="Times New Roman" w:hAnsi="Times New Roman" w:cs="Times New Roman"/>
          <w:sz w:val="24"/>
          <w:szCs w:val="24"/>
        </w:rPr>
        <w:t xml:space="preserve"> e non vi sono ragioni, a parte la mera affermazione di principio della ricorrente, per ritenere nel caso concreto vi sia stata una violazione della </w:t>
      </w:r>
      <w:r w:rsidRPr="00B15374">
        <w:rPr>
          <w:rFonts w:ascii="Times New Roman" w:hAnsi="Times New Roman" w:cs="Times New Roman"/>
          <w:i/>
          <w:iCs/>
          <w:sz w:val="24"/>
          <w:szCs w:val="24"/>
        </w:rPr>
        <w:t>par condicio </w:t>
      </w:r>
      <w:r w:rsidRPr="00B15374">
        <w:rPr>
          <w:rFonts w:ascii="Times New Roman" w:hAnsi="Times New Roman" w:cs="Times New Roman"/>
          <w:sz w:val="24"/>
          <w:szCs w:val="24"/>
        </w:rPr>
        <w:t>dei concorrenti, o che la mera identità del Commissario esterno abbia alterato gli esiti di procedure diverse, bandite da diverse Amministrazioni e aggiudicate in favore di operatori economici distinti.</w:t>
      </w:r>
    </w:p>
    <w:p w14:paraId="02F30214" w14:textId="77777777" w:rsidR="0076483B" w:rsidRPr="0076483B" w:rsidRDefault="0076483B" w:rsidP="0076483B">
      <w:pPr>
        <w:spacing w:after="0"/>
        <w:jc w:val="both"/>
        <w:rPr>
          <w:rFonts w:ascii="Times New Roman" w:hAnsi="Times New Roman" w:cs="Times New Roman"/>
          <w:sz w:val="24"/>
          <w:szCs w:val="24"/>
        </w:rPr>
      </w:pPr>
    </w:p>
    <w:p w14:paraId="03E13084" w14:textId="3BCAFD4B" w:rsidR="00CB7339" w:rsidRDefault="00CB7339" w:rsidP="00CB7339">
      <w:pPr>
        <w:spacing w:after="0"/>
        <w:jc w:val="center"/>
        <w:rPr>
          <w:rFonts w:ascii="Times New Roman" w:hAnsi="Times New Roman" w:cs="Times New Roman"/>
          <w:b/>
          <w:bCs/>
          <w:sz w:val="28"/>
          <w:szCs w:val="28"/>
        </w:rPr>
      </w:pPr>
      <w:r w:rsidRPr="00CB7339">
        <w:rPr>
          <w:rFonts w:ascii="Times New Roman" w:hAnsi="Times New Roman" w:cs="Times New Roman"/>
          <w:b/>
          <w:bCs/>
          <w:sz w:val="28"/>
          <w:szCs w:val="28"/>
        </w:rPr>
        <w:t xml:space="preserve">SUL DIRITTO ALLA RINEGOZIAZIONE (ART. 9 e 120, COMMA 8) </w:t>
      </w:r>
    </w:p>
    <w:p w14:paraId="47AAF44F" w14:textId="2F125331" w:rsidR="0076483B" w:rsidRPr="00CB7339" w:rsidRDefault="00CB7339" w:rsidP="00CB7339">
      <w:pPr>
        <w:spacing w:after="0"/>
        <w:jc w:val="center"/>
        <w:rPr>
          <w:rFonts w:ascii="Times New Roman" w:hAnsi="Times New Roman" w:cs="Times New Roman"/>
          <w:b/>
          <w:bCs/>
          <w:sz w:val="28"/>
          <w:szCs w:val="28"/>
        </w:rPr>
      </w:pPr>
      <w:r w:rsidRPr="00CB7339">
        <w:rPr>
          <w:rFonts w:ascii="Times New Roman" w:hAnsi="Times New Roman" w:cs="Times New Roman"/>
          <w:b/>
          <w:bCs/>
          <w:sz w:val="28"/>
          <w:szCs w:val="28"/>
        </w:rPr>
        <w:t>E SULLA REVISIONE PREZZI (ART. 60)</w:t>
      </w:r>
    </w:p>
    <w:p w14:paraId="28C4EE0B" w14:textId="77777777" w:rsidR="00656217" w:rsidRDefault="00656217" w:rsidP="009918B3">
      <w:pPr>
        <w:spacing w:after="0"/>
        <w:jc w:val="both"/>
        <w:rPr>
          <w:rFonts w:ascii="Times New Roman" w:hAnsi="Times New Roman" w:cs="Times New Roman"/>
          <w:sz w:val="24"/>
          <w:szCs w:val="24"/>
        </w:rPr>
      </w:pPr>
    </w:p>
    <w:p w14:paraId="0C3B9FF7" w14:textId="23EB9F5F" w:rsidR="00656217" w:rsidRDefault="00CB7339" w:rsidP="009918B3">
      <w:pPr>
        <w:spacing w:after="0"/>
        <w:jc w:val="both"/>
        <w:rPr>
          <w:rFonts w:ascii="Times New Roman" w:hAnsi="Times New Roman" w:cs="Times New Roman"/>
          <w:b/>
          <w:bCs/>
          <w:sz w:val="24"/>
          <w:szCs w:val="24"/>
        </w:rPr>
      </w:pPr>
      <w:r w:rsidRPr="00CB7339">
        <w:rPr>
          <w:rFonts w:ascii="Times New Roman" w:hAnsi="Times New Roman" w:cs="Times New Roman"/>
          <w:b/>
          <w:bCs/>
          <w:sz w:val="24"/>
          <w:szCs w:val="24"/>
        </w:rPr>
        <w:t>Tar Emilia Romagna, parma, Sez. I, 17.02.2025, n. 143</w:t>
      </w:r>
    </w:p>
    <w:p w14:paraId="24D30AC2" w14:textId="12310A80" w:rsidR="00CB7339" w:rsidRDefault="00CB7339" w:rsidP="009918B3">
      <w:pPr>
        <w:spacing w:after="0"/>
        <w:jc w:val="both"/>
        <w:rPr>
          <w:rFonts w:ascii="Times New Roman" w:hAnsi="Times New Roman" w:cs="Times New Roman"/>
          <w:b/>
          <w:bCs/>
          <w:sz w:val="24"/>
          <w:szCs w:val="24"/>
        </w:rPr>
      </w:pPr>
      <w:r w:rsidRPr="00CB7339">
        <w:rPr>
          <w:rFonts w:ascii="Times New Roman" w:hAnsi="Times New Roman" w:cs="Times New Roman"/>
          <w:b/>
          <w:bCs/>
          <w:sz w:val="24"/>
          <w:szCs w:val="24"/>
        </w:rPr>
        <w:t>Consiglio di Stato, Sez. V, n. 9212 del 18 novembre 2024</w:t>
      </w:r>
    </w:p>
    <w:p w14:paraId="3D318193" w14:textId="13D8985B" w:rsidR="00CB7339" w:rsidRDefault="00CB7339" w:rsidP="009918B3">
      <w:pPr>
        <w:spacing w:after="0"/>
        <w:jc w:val="both"/>
        <w:rPr>
          <w:rFonts w:ascii="Times New Roman" w:hAnsi="Times New Roman" w:cs="Times New Roman"/>
          <w:b/>
          <w:bCs/>
          <w:i/>
          <w:iCs/>
          <w:sz w:val="24"/>
          <w:szCs w:val="24"/>
        </w:rPr>
      </w:pPr>
      <w:r w:rsidRPr="00CB7339">
        <w:rPr>
          <w:rFonts w:ascii="Times New Roman" w:hAnsi="Times New Roman" w:cs="Times New Roman"/>
          <w:b/>
          <w:bCs/>
          <w:i/>
          <w:iCs/>
          <w:sz w:val="24"/>
          <w:szCs w:val="24"/>
        </w:rPr>
        <w:t xml:space="preserve">Sulla irretroattività dell’art. 9 </w:t>
      </w:r>
    </w:p>
    <w:p w14:paraId="5736FB4D" w14:textId="77777777" w:rsidR="00CB7339" w:rsidRPr="00CB7339" w:rsidRDefault="00CB7339" w:rsidP="00CB7339">
      <w:pPr>
        <w:spacing w:after="0"/>
        <w:jc w:val="both"/>
        <w:rPr>
          <w:rFonts w:ascii="Times New Roman" w:hAnsi="Times New Roman" w:cs="Times New Roman"/>
          <w:sz w:val="24"/>
          <w:szCs w:val="24"/>
        </w:rPr>
      </w:pPr>
      <w:r w:rsidRPr="00CB7339">
        <w:rPr>
          <w:rFonts w:ascii="Times New Roman" w:hAnsi="Times New Roman" w:cs="Times New Roman"/>
          <w:sz w:val="24"/>
          <w:szCs w:val="24"/>
        </w:rPr>
        <w:t xml:space="preserve">Anche con il riferimento all’applicazione del principio generale della buona fede, la decisione in esame chiarisce che “6.2.3. Questa regola, tradizionalmente operante anche per i contratti della pubblica amministrazione, fatte salve le eccezioni delle modifiche contrattuali consentite per legge (e della revisione dei prezzi fino a quando prevista), è stata superata soltanto di recente mediante </w:t>
      </w:r>
      <w:r w:rsidRPr="00CB7339">
        <w:rPr>
          <w:rFonts w:ascii="Times New Roman" w:hAnsi="Times New Roman" w:cs="Times New Roman"/>
          <w:b/>
          <w:bCs/>
          <w:sz w:val="24"/>
          <w:szCs w:val="24"/>
        </w:rPr>
        <w:t>l’introduzione dell’art. 9</w:t>
      </w:r>
      <w:r w:rsidRPr="00CB7339">
        <w:rPr>
          <w:rFonts w:ascii="Times New Roman" w:hAnsi="Times New Roman" w:cs="Times New Roman"/>
          <w:sz w:val="24"/>
          <w:szCs w:val="24"/>
        </w:rPr>
        <w:t xml:space="preserve"> (Principio di conservazione dell’equilibrio contrattuale) del d.lgs. 31 marzo 2023 n. 36. La disposizione prevede infatti, al primo comma, che “se sopravvengono circostanze straordinarie e imprevedibili, estranee alla normale alea, all’ordinaria fluttuazione economica e al rischio di mercato e tali da alterare in maniera rilevante l’equilibrio originario del contratto, la parte svantaggiata, che non abbia volontariamente assunto il relativo rischio, ha diritto alla rinegoziazione secondo buona fede delle condizioni contrattuali. […]”; tuttavia, sul punto la decisione sottolinea che “La norma sopravvenuta del d.lgs. n. 36 del 2023 </w:t>
      </w:r>
      <w:r w:rsidRPr="00CB7339">
        <w:rPr>
          <w:rFonts w:ascii="Times New Roman" w:hAnsi="Times New Roman" w:cs="Times New Roman"/>
          <w:b/>
          <w:bCs/>
          <w:sz w:val="24"/>
          <w:szCs w:val="24"/>
          <w:u w:val="single"/>
        </w:rPr>
        <w:t>non ha portata retroattiva</w:t>
      </w:r>
      <w:r w:rsidRPr="00CB7339">
        <w:rPr>
          <w:rFonts w:ascii="Times New Roman" w:hAnsi="Times New Roman" w:cs="Times New Roman"/>
          <w:sz w:val="24"/>
          <w:szCs w:val="24"/>
        </w:rPr>
        <w:t xml:space="preserve"> </w:t>
      </w:r>
      <w:r w:rsidRPr="00CB7339">
        <w:rPr>
          <w:rFonts w:ascii="Times New Roman" w:hAnsi="Times New Roman" w:cs="Times New Roman"/>
          <w:sz w:val="24"/>
          <w:szCs w:val="24"/>
          <w:u w:val="single"/>
        </w:rPr>
        <w:t>poiché non è norma interpretativa né applicativa di un principio generale già presente nell’ordinamento, ma introduce ex novo il rimedio generale di manutenzione del contratto</w:t>
      </w:r>
      <w:r w:rsidRPr="00CB7339">
        <w:rPr>
          <w:rFonts w:ascii="Times New Roman" w:hAnsi="Times New Roman" w:cs="Times New Roman"/>
          <w:sz w:val="24"/>
          <w:szCs w:val="24"/>
        </w:rPr>
        <w:t>, che, come si legge nella Relazione al Nuovo Codice dei contratti pubblici, è maggiormente conforme all’interesse dei contraenti in considerazione dell’inadeguatezza della tutela meramente demolitoria apprestata dall’art. 1467 c.c. (norma, quest’ultima, applicabile fino all’entrata in vigore del nuovo Codice). Il rimedio della rinegoziazione è regolato, quanto alle forme e ai tempi del contraddittorio tra le parti contrattuali, dalla disposizione dell’art. 120, comma 8, che non ha alcuna norma corrispondente nell’immediato precedente normativo dell’art. 106 del d.lgs. n. 50 del 2016”.</w:t>
      </w:r>
    </w:p>
    <w:p w14:paraId="454766B4" w14:textId="66FAB554" w:rsidR="00CB7339" w:rsidRDefault="00CB7339" w:rsidP="00CB7339">
      <w:pPr>
        <w:spacing w:after="0"/>
        <w:jc w:val="both"/>
        <w:rPr>
          <w:rFonts w:ascii="Times New Roman" w:hAnsi="Times New Roman" w:cs="Times New Roman"/>
          <w:sz w:val="24"/>
          <w:szCs w:val="24"/>
        </w:rPr>
      </w:pPr>
      <w:r w:rsidRPr="00CB7339">
        <w:rPr>
          <w:rFonts w:ascii="Times New Roman" w:hAnsi="Times New Roman" w:cs="Times New Roman"/>
          <w:b/>
          <w:bCs/>
          <w:sz w:val="24"/>
          <w:szCs w:val="24"/>
        </w:rPr>
        <w:t>Ferma l’inapplicabilità, nel caso di specie, delle nuove disposizioni contenute nel D.lgs. n. 36/2023, il Collegio rileva che anche il nuovo Codice dei contratti pubblici, pur implementando i rimedi manutentivi del rapporto negoziale rispetto a quelli demolitori, in ogni caso mantiene nettamente distinta (come l’art. 106 del D.lgs. n. 50/2016) la clausola di revisione prezzi (che ex art. 60 torna ad essere obbligatoria) dalle modifiche incidenti sull’oggetto (“varianti” delle prestazioni) del contratto</w:t>
      </w:r>
      <w:r w:rsidRPr="00CB7339">
        <w:rPr>
          <w:rFonts w:ascii="Times New Roman" w:hAnsi="Times New Roman" w:cs="Times New Roman"/>
          <w:sz w:val="24"/>
          <w:szCs w:val="24"/>
        </w:rPr>
        <w:t xml:space="preserve"> (Consiglio di Stato, Adunanza della Commissione speciale del 27 </w:t>
      </w:r>
      <w:r w:rsidRPr="00CB7339">
        <w:rPr>
          <w:rFonts w:ascii="Times New Roman" w:hAnsi="Times New Roman" w:cs="Times New Roman"/>
          <w:sz w:val="24"/>
          <w:szCs w:val="24"/>
        </w:rPr>
        <w:lastRenderedPageBreak/>
        <w:t>novembre 2024 - numero affare 01427/2024 - Parere sullo “Schema di decreto legislativo recante “Disposizioni integrative e correttive al codice dei contratti pubblici di cui al decreto legislativo 31 marzo 2023, n. 36”): ciò conferma la chiara distinzione normativa sulla natura e sui rimedi riconosciuti dall’ordinamento in relazione agli elementi contrattuali del prezzo e della prestazione.</w:t>
      </w:r>
    </w:p>
    <w:p w14:paraId="254C1145" w14:textId="77777777" w:rsidR="00CB7339" w:rsidRDefault="00CB7339" w:rsidP="00CB7339">
      <w:pPr>
        <w:spacing w:after="0"/>
        <w:jc w:val="both"/>
        <w:rPr>
          <w:rFonts w:ascii="Times New Roman" w:hAnsi="Times New Roman" w:cs="Times New Roman"/>
          <w:sz w:val="24"/>
          <w:szCs w:val="24"/>
        </w:rPr>
      </w:pPr>
    </w:p>
    <w:p w14:paraId="7F3F95C9" w14:textId="0FD2F8AC" w:rsidR="00CB7339" w:rsidRPr="00CB7339" w:rsidRDefault="00CB7339" w:rsidP="00CB7339">
      <w:pPr>
        <w:spacing w:after="0"/>
        <w:jc w:val="both"/>
        <w:rPr>
          <w:rFonts w:ascii="Times New Roman" w:hAnsi="Times New Roman" w:cs="Times New Roman"/>
          <w:b/>
          <w:bCs/>
          <w:i/>
          <w:iCs/>
          <w:sz w:val="24"/>
          <w:szCs w:val="24"/>
        </w:rPr>
      </w:pPr>
      <w:r w:rsidRPr="00CB7339">
        <w:rPr>
          <w:rFonts w:ascii="Times New Roman" w:hAnsi="Times New Roman" w:cs="Times New Roman"/>
          <w:b/>
          <w:bCs/>
          <w:i/>
          <w:iCs/>
          <w:sz w:val="24"/>
          <w:szCs w:val="24"/>
        </w:rPr>
        <w:t>Sull’inapplicabilità dell’art. 106, comma 1, lett. c) in caso di modifiche dei prezzi</w:t>
      </w:r>
      <w:r w:rsidR="004A198E">
        <w:rPr>
          <w:rFonts w:ascii="Times New Roman" w:hAnsi="Times New Roman" w:cs="Times New Roman"/>
          <w:b/>
          <w:bCs/>
          <w:i/>
          <w:iCs/>
          <w:sz w:val="24"/>
          <w:szCs w:val="24"/>
        </w:rPr>
        <w:t>, in mancanza di una clausola chiar</w:t>
      </w:r>
      <w:r w:rsidR="004757E7">
        <w:rPr>
          <w:rFonts w:ascii="Times New Roman" w:hAnsi="Times New Roman" w:cs="Times New Roman"/>
          <w:b/>
          <w:bCs/>
          <w:i/>
          <w:iCs/>
          <w:sz w:val="24"/>
          <w:szCs w:val="24"/>
        </w:rPr>
        <w:t>a</w:t>
      </w:r>
      <w:r w:rsidR="004A198E">
        <w:rPr>
          <w:rFonts w:ascii="Times New Roman" w:hAnsi="Times New Roman" w:cs="Times New Roman"/>
          <w:b/>
          <w:bCs/>
          <w:i/>
          <w:iCs/>
          <w:sz w:val="24"/>
          <w:szCs w:val="24"/>
        </w:rPr>
        <w:t xml:space="preserve"> precisa ed inequivocabile </w:t>
      </w:r>
    </w:p>
    <w:p w14:paraId="203B559F" w14:textId="4A2C0AD7" w:rsidR="00CB7339" w:rsidRDefault="00CB7339" w:rsidP="00CB7339">
      <w:pPr>
        <w:spacing w:after="0"/>
        <w:jc w:val="both"/>
        <w:rPr>
          <w:rFonts w:ascii="Times New Roman" w:hAnsi="Times New Roman" w:cs="Times New Roman"/>
          <w:color w:val="000000"/>
          <w:sz w:val="24"/>
          <w:szCs w:val="24"/>
        </w:rPr>
      </w:pPr>
      <w:r w:rsidRPr="00CB7339">
        <w:rPr>
          <w:rFonts w:ascii="Times New Roman" w:hAnsi="Times New Roman" w:cs="Times New Roman"/>
          <w:color w:val="000000"/>
          <w:sz w:val="24"/>
          <w:szCs w:val="24"/>
        </w:rPr>
        <w:t xml:space="preserve">D’altronde, condivisibile giurisprudenza di questo Consiglio di Stato ha già escluso il </w:t>
      </w:r>
      <w:r w:rsidRPr="00CB7339">
        <w:rPr>
          <w:rFonts w:ascii="Times New Roman" w:hAnsi="Times New Roman" w:cs="Times New Roman"/>
          <w:b/>
          <w:bCs/>
          <w:color w:val="000000"/>
          <w:sz w:val="24"/>
          <w:szCs w:val="24"/>
        </w:rPr>
        <w:t>possibile riferimento alla lettera c) del comma 1 dell’art. 106,</w:t>
      </w:r>
      <w:r w:rsidRPr="00CB7339">
        <w:rPr>
          <w:rFonts w:ascii="Times New Roman" w:hAnsi="Times New Roman" w:cs="Times New Roman"/>
          <w:color w:val="000000"/>
          <w:sz w:val="24"/>
          <w:szCs w:val="24"/>
        </w:rPr>
        <w:t xml:space="preserve"> </w:t>
      </w:r>
      <w:r w:rsidRPr="00CB7339">
        <w:rPr>
          <w:rFonts w:ascii="Times New Roman" w:hAnsi="Times New Roman" w:cs="Times New Roman"/>
          <w:b/>
          <w:bCs/>
          <w:color w:val="000000"/>
          <w:sz w:val="24"/>
          <w:szCs w:val="24"/>
        </w:rPr>
        <w:t>laddove la sopravvenienza attenga alle variazioni dei costi e dei prezzi</w:t>
      </w:r>
      <w:r w:rsidRPr="00CB7339">
        <w:rPr>
          <w:rFonts w:ascii="Times New Roman" w:hAnsi="Times New Roman" w:cs="Times New Roman"/>
          <w:color w:val="000000"/>
          <w:sz w:val="24"/>
          <w:szCs w:val="24"/>
        </w:rPr>
        <w:t xml:space="preserve"> (Cons. Stato, IV, 31 ottobre 2022, n. 9426; cfr., in tema, anche Cons. Stato, V, 7 gennaio 2022, n. 48; id. III, 7 dicembre 2021, n. 8180; id., V, 15 novembre 2021, n. 7602 e 2 agosto 2019, n. 5505).</w:t>
      </w:r>
      <w:r>
        <w:rPr>
          <w:rFonts w:ascii="Times New Roman" w:hAnsi="Times New Roman" w:cs="Times New Roman"/>
          <w:color w:val="000000"/>
          <w:sz w:val="24"/>
          <w:szCs w:val="24"/>
        </w:rPr>
        <w:t xml:space="preserve"> </w:t>
      </w:r>
      <w:r w:rsidRPr="004A198E">
        <w:rPr>
          <w:rFonts w:ascii="Times New Roman" w:hAnsi="Times New Roman" w:cs="Times New Roman"/>
          <w:b/>
          <w:bCs/>
          <w:color w:val="000000"/>
          <w:sz w:val="24"/>
          <w:szCs w:val="24"/>
        </w:rPr>
        <w:t>La pretesa di riequilibrio contrattuale mediante l’applicazione dell’art.106, comma 1, lett. c), del d.lgs. n. 50 del 2016 non può trovare accoglimento</w:t>
      </w:r>
      <w:r w:rsidRPr="00CB7339">
        <w:rPr>
          <w:rFonts w:ascii="Times New Roman" w:hAnsi="Times New Roman" w:cs="Times New Roman"/>
          <w:color w:val="000000"/>
          <w:sz w:val="24"/>
          <w:szCs w:val="24"/>
        </w:rPr>
        <w:t>”.</w:t>
      </w:r>
      <w:r w:rsidR="004A198E">
        <w:rPr>
          <w:rFonts w:ascii="Times New Roman" w:hAnsi="Times New Roman" w:cs="Times New Roman"/>
          <w:color w:val="000000"/>
          <w:sz w:val="24"/>
          <w:szCs w:val="24"/>
        </w:rPr>
        <w:t xml:space="preserve"> </w:t>
      </w:r>
    </w:p>
    <w:p w14:paraId="5F8DCDC9" w14:textId="6D3275BA" w:rsidR="004A198E" w:rsidRDefault="004A198E" w:rsidP="00CB7339">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 </w:t>
      </w:r>
      <w:r w:rsidR="004757E7">
        <w:rPr>
          <w:rFonts w:ascii="Times New Roman" w:hAnsi="Times New Roman" w:cs="Times New Roman"/>
          <w:color w:val="000000"/>
          <w:sz w:val="24"/>
          <w:szCs w:val="24"/>
        </w:rPr>
        <w:t xml:space="preserve"> </w:t>
      </w:r>
    </w:p>
    <w:p w14:paraId="525E7AC7" w14:textId="77777777" w:rsidR="004757E7" w:rsidRDefault="004757E7" w:rsidP="00CB7339">
      <w:pPr>
        <w:spacing w:after="0"/>
        <w:jc w:val="both"/>
        <w:rPr>
          <w:rFonts w:ascii="Times New Roman" w:hAnsi="Times New Roman" w:cs="Times New Roman"/>
          <w:color w:val="000000"/>
          <w:sz w:val="24"/>
          <w:szCs w:val="24"/>
        </w:rPr>
      </w:pPr>
    </w:p>
    <w:p w14:paraId="39682506" w14:textId="77777777" w:rsidR="004757E7" w:rsidRPr="00B375B1" w:rsidRDefault="004757E7" w:rsidP="004757E7">
      <w:pPr>
        <w:spacing w:after="0"/>
        <w:jc w:val="both"/>
        <w:rPr>
          <w:rFonts w:ascii="Times New Roman" w:hAnsi="Times New Roman" w:cs="Times New Roman"/>
          <w:b/>
          <w:bCs/>
          <w:sz w:val="24"/>
          <w:szCs w:val="24"/>
        </w:rPr>
      </w:pPr>
      <w:r w:rsidRPr="00B375B1">
        <w:rPr>
          <w:rFonts w:ascii="Times New Roman" w:hAnsi="Times New Roman" w:cs="Times New Roman"/>
          <w:b/>
          <w:bCs/>
          <w:sz w:val="24"/>
          <w:szCs w:val="24"/>
        </w:rPr>
        <w:t>Tar Campania, Napoli, Sez. I, 13.06.2024, n. 3735</w:t>
      </w:r>
    </w:p>
    <w:p w14:paraId="6B61210F" w14:textId="77777777" w:rsidR="004757E7" w:rsidRPr="00B375B1" w:rsidRDefault="004757E7" w:rsidP="004757E7">
      <w:pPr>
        <w:spacing w:after="0"/>
        <w:jc w:val="both"/>
        <w:rPr>
          <w:rFonts w:ascii="Times New Roman" w:hAnsi="Times New Roman" w:cs="Times New Roman"/>
          <w:b/>
          <w:bCs/>
          <w:sz w:val="24"/>
          <w:szCs w:val="24"/>
        </w:rPr>
      </w:pPr>
      <w:r w:rsidRPr="00B375B1">
        <w:rPr>
          <w:rFonts w:ascii="Times New Roman" w:hAnsi="Times New Roman" w:cs="Times New Roman"/>
          <w:b/>
          <w:bCs/>
          <w:sz w:val="24"/>
          <w:szCs w:val="24"/>
        </w:rPr>
        <w:t xml:space="preserve">Sulla variazione del costo del personale e il riequilibrio contrattuale </w:t>
      </w:r>
      <w:r>
        <w:rPr>
          <w:rFonts w:ascii="Times New Roman" w:hAnsi="Times New Roman" w:cs="Times New Roman"/>
          <w:b/>
          <w:bCs/>
          <w:sz w:val="24"/>
          <w:szCs w:val="24"/>
        </w:rPr>
        <w:t xml:space="preserve">alla luce del </w:t>
      </w:r>
      <w:proofErr w:type="spellStart"/>
      <w:r>
        <w:rPr>
          <w:rFonts w:ascii="Times New Roman" w:hAnsi="Times New Roman" w:cs="Times New Roman"/>
          <w:b/>
          <w:bCs/>
          <w:sz w:val="24"/>
          <w:szCs w:val="24"/>
        </w:rPr>
        <w:t>dlgs</w:t>
      </w:r>
      <w:proofErr w:type="spellEnd"/>
      <w:r>
        <w:rPr>
          <w:rFonts w:ascii="Times New Roman" w:hAnsi="Times New Roman" w:cs="Times New Roman"/>
          <w:b/>
          <w:bCs/>
          <w:sz w:val="24"/>
          <w:szCs w:val="24"/>
        </w:rPr>
        <w:t xml:space="preserve"> n. 50/2016 e del </w:t>
      </w:r>
      <w:proofErr w:type="spellStart"/>
      <w:r>
        <w:rPr>
          <w:rFonts w:ascii="Times New Roman" w:hAnsi="Times New Roman" w:cs="Times New Roman"/>
          <w:b/>
          <w:bCs/>
          <w:sz w:val="24"/>
          <w:szCs w:val="24"/>
        </w:rPr>
        <w:t>dlgs</w:t>
      </w:r>
      <w:proofErr w:type="spellEnd"/>
      <w:r>
        <w:rPr>
          <w:rFonts w:ascii="Times New Roman" w:hAnsi="Times New Roman" w:cs="Times New Roman"/>
          <w:b/>
          <w:bCs/>
          <w:sz w:val="24"/>
          <w:szCs w:val="24"/>
        </w:rPr>
        <w:t xml:space="preserve"> n. 36/2023</w:t>
      </w:r>
    </w:p>
    <w:p w14:paraId="083E1A0A"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In tale ottica, la preoccupazione manifestata dalla ricorrente in ordine all’attuale insostenibilità dell’offerta non ha ragion d’essere, essendo i nuovi livelli retributivi “sicuramente applicabili alla futura esecuzione del contratto da affidare” (Cons. Stato, n. 6652/2023, cit.).</w:t>
      </w:r>
    </w:p>
    <w:p w14:paraId="5179A02A"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Da ciò discende che, da un canto, occorrerà assicurare l’adeguamento dei livelli retributivi e, d’altro canto, la censurata mancanza non si riverbera in vizio dell’aggiudicazione.</w:t>
      </w:r>
    </w:p>
    <w:p w14:paraId="42023D61" w14:textId="77777777" w:rsidR="004757E7" w:rsidRPr="00B375B1" w:rsidRDefault="004757E7" w:rsidP="004757E7">
      <w:pPr>
        <w:spacing w:after="0"/>
        <w:jc w:val="both"/>
        <w:rPr>
          <w:rFonts w:ascii="Times New Roman" w:hAnsi="Times New Roman" w:cs="Times New Roman"/>
          <w:sz w:val="24"/>
          <w:szCs w:val="24"/>
        </w:rPr>
      </w:pPr>
    </w:p>
    <w:p w14:paraId="6AF98F12"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 xml:space="preserve">Questo aspetto concerne il </w:t>
      </w:r>
      <w:r w:rsidRPr="00B375B1">
        <w:rPr>
          <w:rFonts w:ascii="Times New Roman" w:hAnsi="Times New Roman" w:cs="Times New Roman"/>
          <w:b/>
          <w:bCs/>
          <w:sz w:val="24"/>
          <w:szCs w:val="24"/>
        </w:rPr>
        <w:t>tema del riequilibrio del contratto di appalto</w:t>
      </w:r>
      <w:r w:rsidRPr="00B375B1">
        <w:rPr>
          <w:rFonts w:ascii="Times New Roman" w:hAnsi="Times New Roman" w:cs="Times New Roman"/>
          <w:sz w:val="24"/>
          <w:szCs w:val="24"/>
        </w:rPr>
        <w:t>, che trova corrispondenza nelle previsioni del codice che consentono la modifica dei corrispettivi.</w:t>
      </w:r>
    </w:p>
    <w:p w14:paraId="02F2A7C5"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 xml:space="preserve">In particolare, </w:t>
      </w:r>
      <w:r w:rsidRPr="00B375B1">
        <w:rPr>
          <w:rFonts w:ascii="Times New Roman" w:hAnsi="Times New Roman" w:cs="Times New Roman"/>
          <w:b/>
          <w:bCs/>
          <w:sz w:val="24"/>
          <w:szCs w:val="24"/>
        </w:rPr>
        <w:t>l’art. 106 del d.lgs. n. 50/2016</w:t>
      </w:r>
      <w:r w:rsidRPr="00B375B1">
        <w:rPr>
          <w:rFonts w:ascii="Times New Roman" w:hAnsi="Times New Roman" w:cs="Times New Roman"/>
          <w:sz w:val="24"/>
          <w:szCs w:val="24"/>
        </w:rPr>
        <w:t xml:space="preserve"> stabilisce che i contratti di appalto possono essere modificati senza una nuova procedura di affidamento, ove la necessità di modifica è determinata da </w:t>
      </w:r>
      <w:r w:rsidRPr="00B375B1">
        <w:rPr>
          <w:rFonts w:ascii="Times New Roman" w:hAnsi="Times New Roman" w:cs="Times New Roman"/>
          <w:b/>
          <w:bCs/>
          <w:sz w:val="24"/>
          <w:szCs w:val="24"/>
        </w:rPr>
        <w:t>circostanze impreviste o imprevedibili</w:t>
      </w:r>
      <w:r w:rsidRPr="00B375B1">
        <w:rPr>
          <w:rFonts w:ascii="Times New Roman" w:hAnsi="Times New Roman" w:cs="Times New Roman"/>
          <w:sz w:val="24"/>
          <w:szCs w:val="24"/>
        </w:rPr>
        <w:t xml:space="preserve"> per l’amministrazione aggiudicatrice, tra le quali “la sopravvenienza di </w:t>
      </w:r>
      <w:r w:rsidRPr="00B375B1">
        <w:rPr>
          <w:rFonts w:ascii="Times New Roman" w:hAnsi="Times New Roman" w:cs="Times New Roman"/>
          <w:b/>
          <w:bCs/>
          <w:sz w:val="24"/>
          <w:szCs w:val="24"/>
        </w:rPr>
        <w:t>nuove disposizioni legislative o regolamentari o provvedimenti</w:t>
      </w:r>
      <w:r w:rsidRPr="00B375B1">
        <w:rPr>
          <w:rFonts w:ascii="Times New Roman" w:hAnsi="Times New Roman" w:cs="Times New Roman"/>
          <w:sz w:val="24"/>
          <w:szCs w:val="24"/>
        </w:rPr>
        <w:t xml:space="preserve"> di autorità od enti preposti alla tutela di interessi rilevanti” (</w:t>
      </w:r>
      <w:r w:rsidRPr="00B375B1">
        <w:rPr>
          <w:rFonts w:ascii="Times New Roman" w:hAnsi="Times New Roman" w:cs="Times New Roman"/>
          <w:b/>
          <w:bCs/>
          <w:sz w:val="24"/>
          <w:szCs w:val="24"/>
        </w:rPr>
        <w:t>co. 1, lett. c), n. 2</w:t>
      </w:r>
      <w:r w:rsidRPr="00B375B1">
        <w:rPr>
          <w:rFonts w:ascii="Times New Roman" w:hAnsi="Times New Roman" w:cs="Times New Roman"/>
          <w:sz w:val="24"/>
          <w:szCs w:val="24"/>
        </w:rPr>
        <w:t>).</w:t>
      </w:r>
    </w:p>
    <w:p w14:paraId="321AD85B"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 xml:space="preserve">È da ritenersi che </w:t>
      </w:r>
      <w:r w:rsidRPr="00B375B1">
        <w:rPr>
          <w:rFonts w:ascii="Times New Roman" w:hAnsi="Times New Roman" w:cs="Times New Roman"/>
          <w:b/>
          <w:bCs/>
          <w:sz w:val="24"/>
          <w:szCs w:val="24"/>
        </w:rPr>
        <w:t>in quest’ambito vi debbano rientrare i contratti collettivi nazionali di lavoro</w:t>
      </w:r>
      <w:r w:rsidRPr="00B375B1">
        <w:rPr>
          <w:rFonts w:ascii="Times New Roman" w:hAnsi="Times New Roman" w:cs="Times New Roman"/>
          <w:sz w:val="24"/>
          <w:szCs w:val="24"/>
        </w:rPr>
        <w:t>, in ragione della loro inderogabilità e per la natura che rivestono.</w:t>
      </w:r>
    </w:p>
    <w:p w14:paraId="4AEADFD8"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In conclusione, la questione prospettata dalla ricorrente rientra tra i rimedi manutentivi del contratto, di tal che non può essere predicata l’illegittimità dell’aggiudicazione.</w:t>
      </w:r>
    </w:p>
    <w:p w14:paraId="2F9A4892" w14:textId="77777777" w:rsidR="004757E7" w:rsidRPr="00CB7339"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 xml:space="preserve">Per inciso, va osservato che il riequilibrio contrattuale costituisce </w:t>
      </w:r>
      <w:r w:rsidRPr="00B375B1">
        <w:rPr>
          <w:rFonts w:ascii="Times New Roman" w:hAnsi="Times New Roman" w:cs="Times New Roman"/>
          <w:b/>
          <w:bCs/>
          <w:sz w:val="24"/>
          <w:szCs w:val="24"/>
        </w:rPr>
        <w:t>oggi</w:t>
      </w:r>
      <w:r w:rsidRPr="00B375B1">
        <w:rPr>
          <w:rFonts w:ascii="Times New Roman" w:hAnsi="Times New Roman" w:cs="Times New Roman"/>
          <w:sz w:val="24"/>
          <w:szCs w:val="24"/>
        </w:rPr>
        <w:t xml:space="preserve"> principio espressamente affermato nel nuovo codice dei contratti pubblici (</w:t>
      </w:r>
      <w:r w:rsidRPr="00B375B1">
        <w:rPr>
          <w:rFonts w:ascii="Times New Roman" w:hAnsi="Times New Roman" w:cs="Times New Roman"/>
          <w:b/>
          <w:bCs/>
          <w:sz w:val="24"/>
          <w:szCs w:val="24"/>
        </w:rPr>
        <w:t>art. 9 del d.lgs. n. 36/2023</w:t>
      </w:r>
      <w:r w:rsidRPr="00B375B1">
        <w:rPr>
          <w:rFonts w:ascii="Times New Roman" w:hAnsi="Times New Roman" w:cs="Times New Roman"/>
          <w:sz w:val="24"/>
          <w:szCs w:val="24"/>
        </w:rPr>
        <w:t>).</w:t>
      </w:r>
    </w:p>
    <w:p w14:paraId="4CDEE07B" w14:textId="77777777" w:rsidR="004757E7" w:rsidRDefault="004757E7" w:rsidP="004757E7">
      <w:pPr>
        <w:spacing w:after="0"/>
        <w:jc w:val="both"/>
        <w:rPr>
          <w:rFonts w:ascii="Times New Roman" w:hAnsi="Times New Roman" w:cs="Times New Roman"/>
          <w:sz w:val="24"/>
          <w:szCs w:val="24"/>
        </w:rPr>
      </w:pPr>
    </w:p>
    <w:p w14:paraId="1D56A78D" w14:textId="77777777" w:rsidR="004757E7" w:rsidRPr="00B375B1" w:rsidRDefault="004757E7" w:rsidP="004757E7">
      <w:pPr>
        <w:spacing w:after="0"/>
        <w:jc w:val="both"/>
        <w:rPr>
          <w:rFonts w:ascii="Times New Roman" w:hAnsi="Times New Roman" w:cs="Times New Roman"/>
          <w:b/>
          <w:bCs/>
          <w:i/>
          <w:iCs/>
          <w:sz w:val="24"/>
          <w:szCs w:val="24"/>
        </w:rPr>
      </w:pPr>
      <w:r w:rsidRPr="00B375B1">
        <w:rPr>
          <w:rFonts w:ascii="Times New Roman" w:hAnsi="Times New Roman" w:cs="Times New Roman"/>
          <w:b/>
          <w:bCs/>
          <w:i/>
          <w:iCs/>
          <w:sz w:val="24"/>
          <w:szCs w:val="24"/>
        </w:rPr>
        <w:t>Sulla possibilità di modifiche prima della stipula del contratto</w:t>
      </w:r>
    </w:p>
    <w:p w14:paraId="20669009" w14:textId="77777777" w:rsidR="004757E7" w:rsidRPr="00B375B1" w:rsidRDefault="004757E7" w:rsidP="004757E7">
      <w:pPr>
        <w:spacing w:after="0"/>
        <w:jc w:val="both"/>
        <w:rPr>
          <w:rFonts w:ascii="Times New Roman" w:hAnsi="Times New Roman" w:cs="Times New Roman"/>
          <w:sz w:val="24"/>
          <w:szCs w:val="24"/>
        </w:rPr>
      </w:pPr>
      <w:r w:rsidRPr="00B375B1">
        <w:rPr>
          <w:rFonts w:ascii="Times New Roman" w:hAnsi="Times New Roman" w:cs="Times New Roman"/>
          <w:sz w:val="24"/>
          <w:szCs w:val="24"/>
        </w:rPr>
        <w:t xml:space="preserve">La giurisprudenza ha evidenziato che, </w:t>
      </w:r>
      <w:r w:rsidRPr="00B375B1">
        <w:rPr>
          <w:rFonts w:ascii="Times New Roman" w:hAnsi="Times New Roman" w:cs="Times New Roman"/>
          <w:b/>
          <w:bCs/>
          <w:sz w:val="24"/>
          <w:szCs w:val="24"/>
        </w:rPr>
        <w:t>anche prima della stipula del contratto</w:t>
      </w:r>
      <w:r w:rsidRPr="00B375B1">
        <w:rPr>
          <w:rFonts w:ascii="Times New Roman" w:hAnsi="Times New Roman" w:cs="Times New Roman"/>
          <w:sz w:val="24"/>
          <w:szCs w:val="24"/>
        </w:rPr>
        <w:t xml:space="preserve">, possa addivenirsi alle modifiche necessitate da particolari circostanze (cfr. TAR Piemonte - sez. II, 20/2/2023 n. 180: “la legislazione in materia di appalti pubblici è sì ispirata al rispetto del principio di tutela della concorrenza e parità di trattamento, ma è anche informata ai criteri di efficacia ed economicità che, </w:t>
      </w:r>
      <w:r w:rsidRPr="00B375B1">
        <w:rPr>
          <w:rFonts w:ascii="Times New Roman" w:hAnsi="Times New Roman" w:cs="Times New Roman"/>
          <w:b/>
          <w:bCs/>
          <w:sz w:val="24"/>
          <w:szCs w:val="24"/>
        </w:rPr>
        <w:t>in presenza di particolari circostanze, possono condurre alla rinegoziazione delle condizioni contrattuali sia in corso d’esecuzione che prima della stipula del contratto</w:t>
      </w:r>
      <w:r w:rsidRPr="00B375B1">
        <w:rPr>
          <w:rFonts w:ascii="Times New Roman" w:hAnsi="Times New Roman" w:cs="Times New Roman"/>
          <w:sz w:val="24"/>
          <w:szCs w:val="24"/>
        </w:rPr>
        <w:t xml:space="preserve"> (Cons. Stato, sez. V, 11.04.2022, </w:t>
      </w:r>
      <w:proofErr w:type="spellStart"/>
      <w:r w:rsidRPr="00B375B1">
        <w:rPr>
          <w:rFonts w:ascii="Times New Roman" w:hAnsi="Times New Roman" w:cs="Times New Roman"/>
          <w:sz w:val="24"/>
          <w:szCs w:val="24"/>
        </w:rPr>
        <w:t>sent</w:t>
      </w:r>
      <w:proofErr w:type="spellEnd"/>
      <w:r w:rsidRPr="00B375B1">
        <w:rPr>
          <w:rFonts w:ascii="Times New Roman" w:hAnsi="Times New Roman" w:cs="Times New Roman"/>
          <w:sz w:val="24"/>
          <w:szCs w:val="24"/>
        </w:rPr>
        <w:t xml:space="preserve">. n. 2709). Costituisce oramai consolidato principio quello secondo il quale </w:t>
      </w:r>
      <w:r w:rsidRPr="00B375B1">
        <w:rPr>
          <w:rFonts w:ascii="Times New Roman" w:hAnsi="Times New Roman" w:cs="Times New Roman"/>
          <w:b/>
          <w:bCs/>
          <w:sz w:val="24"/>
          <w:szCs w:val="24"/>
        </w:rPr>
        <w:t xml:space="preserve">l’immodificabilità del contratto non ha carattere assoluto e le variazioni contrattuali non </w:t>
      </w:r>
      <w:r w:rsidRPr="00B375B1">
        <w:rPr>
          <w:rFonts w:ascii="Times New Roman" w:hAnsi="Times New Roman" w:cs="Times New Roman"/>
          <w:b/>
          <w:bCs/>
          <w:sz w:val="24"/>
          <w:szCs w:val="24"/>
        </w:rPr>
        <w:lastRenderedPageBreak/>
        <w:t>violano sempre e comunque i principi fondamentali in materia di evidenza pubblica</w:t>
      </w:r>
      <w:r w:rsidRPr="00B375B1">
        <w:rPr>
          <w:rFonts w:ascii="Times New Roman" w:hAnsi="Times New Roman" w:cs="Times New Roman"/>
          <w:sz w:val="24"/>
          <w:szCs w:val="24"/>
        </w:rPr>
        <w:t xml:space="preserve"> (cfr. Corte di Giustizia UE, sez. VIII, nella sentenza del 7 settembre 2016, in C. 549-14)”).</w:t>
      </w:r>
    </w:p>
    <w:p w14:paraId="20192395" w14:textId="77777777" w:rsidR="004757E7" w:rsidRDefault="004757E7" w:rsidP="004757E7">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 </w:t>
      </w:r>
    </w:p>
    <w:p w14:paraId="658BA5E5" w14:textId="77777777" w:rsidR="004757E7" w:rsidRDefault="004757E7" w:rsidP="00CB7339">
      <w:pPr>
        <w:spacing w:after="0"/>
        <w:jc w:val="both"/>
        <w:rPr>
          <w:rFonts w:ascii="Times New Roman" w:hAnsi="Times New Roman" w:cs="Times New Roman"/>
          <w:color w:val="000000"/>
          <w:sz w:val="24"/>
          <w:szCs w:val="24"/>
        </w:rPr>
      </w:pPr>
    </w:p>
    <w:p w14:paraId="2C74F553" w14:textId="77777777" w:rsidR="004757E7" w:rsidRPr="003C7670" w:rsidRDefault="004757E7" w:rsidP="004757E7">
      <w:pPr>
        <w:spacing w:after="0"/>
        <w:jc w:val="both"/>
        <w:rPr>
          <w:rFonts w:ascii="Times New Roman" w:hAnsi="Times New Roman" w:cs="Times New Roman"/>
          <w:b/>
          <w:bCs/>
          <w:sz w:val="24"/>
          <w:szCs w:val="24"/>
        </w:rPr>
      </w:pPr>
      <w:r w:rsidRPr="003C7670">
        <w:rPr>
          <w:rFonts w:ascii="Times New Roman" w:hAnsi="Times New Roman" w:cs="Times New Roman"/>
          <w:b/>
          <w:bCs/>
          <w:sz w:val="24"/>
          <w:szCs w:val="24"/>
        </w:rPr>
        <w:t>Tar Lombardia, Milano, Sez. I, 17.02.2025, n. 519</w:t>
      </w:r>
    </w:p>
    <w:p w14:paraId="1DF42FF2" w14:textId="77777777" w:rsidR="004757E7" w:rsidRPr="003C7670" w:rsidRDefault="004757E7" w:rsidP="004757E7">
      <w:pPr>
        <w:spacing w:after="0"/>
        <w:jc w:val="both"/>
        <w:rPr>
          <w:rFonts w:ascii="Times New Roman" w:hAnsi="Times New Roman" w:cs="Times New Roman"/>
          <w:b/>
          <w:bCs/>
          <w:i/>
          <w:iCs/>
          <w:sz w:val="24"/>
          <w:szCs w:val="24"/>
        </w:rPr>
      </w:pPr>
      <w:r w:rsidRPr="003C7670">
        <w:rPr>
          <w:rFonts w:ascii="Times New Roman" w:hAnsi="Times New Roman" w:cs="Times New Roman"/>
          <w:b/>
          <w:bCs/>
          <w:i/>
          <w:iCs/>
          <w:sz w:val="24"/>
          <w:szCs w:val="24"/>
        </w:rPr>
        <w:t>Sull’applicazione della revisione prezzi in caso di rinnovo del CCNL in fase esecutiva</w:t>
      </w:r>
    </w:p>
    <w:p w14:paraId="3BE012A2" w14:textId="77777777" w:rsidR="004757E7" w:rsidRPr="00433D85" w:rsidRDefault="004757E7" w:rsidP="004757E7">
      <w:pPr>
        <w:spacing w:after="0"/>
        <w:jc w:val="both"/>
        <w:rPr>
          <w:rFonts w:ascii="Times New Roman" w:hAnsi="Times New Roman" w:cs="Times New Roman"/>
          <w:sz w:val="24"/>
          <w:szCs w:val="24"/>
        </w:rPr>
      </w:pPr>
      <w:r w:rsidRPr="00433D85">
        <w:rPr>
          <w:rFonts w:ascii="Times New Roman" w:hAnsi="Times New Roman" w:cs="Times New Roman"/>
          <w:sz w:val="24"/>
          <w:szCs w:val="24"/>
        </w:rPr>
        <w:t xml:space="preserve">Il criterio di cui all’art. 1, comma 2, lett. g), l. n. 78 del 2022, di delega al Governo per la riforma del codice dei contratti pubblici, prevedeva “l'obbligo per le stazioni appaltanti di inserire nei bandi di gara, negli avvisi e inviti […] un </w:t>
      </w:r>
      <w:r w:rsidRPr="00433D85">
        <w:rPr>
          <w:rFonts w:ascii="Times New Roman" w:hAnsi="Times New Roman" w:cs="Times New Roman"/>
          <w:b/>
          <w:bCs/>
          <w:sz w:val="24"/>
          <w:szCs w:val="24"/>
        </w:rPr>
        <w:t xml:space="preserve">regime obbligatorio di revisione dei prezzi al verificarsi di particolari condizioni di natura oggettiva e </w:t>
      </w:r>
      <w:r w:rsidRPr="00433D85">
        <w:rPr>
          <w:rFonts w:ascii="Times New Roman" w:hAnsi="Times New Roman" w:cs="Times New Roman"/>
          <w:b/>
          <w:bCs/>
          <w:sz w:val="24"/>
          <w:szCs w:val="24"/>
          <w:u w:val="single"/>
        </w:rPr>
        <w:t>non prevedibili al momento della formulazione dell'offerta</w:t>
      </w:r>
      <w:r w:rsidRPr="00433D85">
        <w:rPr>
          <w:rFonts w:ascii="Times New Roman" w:hAnsi="Times New Roman" w:cs="Times New Roman"/>
          <w:sz w:val="24"/>
          <w:szCs w:val="24"/>
        </w:rPr>
        <w:t xml:space="preserve">, </w:t>
      </w:r>
      <w:r w:rsidRPr="00433D85">
        <w:rPr>
          <w:rFonts w:ascii="Times New Roman" w:hAnsi="Times New Roman" w:cs="Times New Roman"/>
          <w:b/>
          <w:bCs/>
          <w:sz w:val="24"/>
          <w:szCs w:val="24"/>
        </w:rPr>
        <w:t>compresa la variazione del costo derivante dal rinnovo dei contratti collettivi nazionali</w:t>
      </w:r>
      <w:r w:rsidRPr="00433D85">
        <w:rPr>
          <w:rFonts w:ascii="Times New Roman" w:hAnsi="Times New Roman" w:cs="Times New Roman"/>
          <w:sz w:val="24"/>
          <w:szCs w:val="24"/>
        </w:rPr>
        <w:t xml:space="preserve"> di lavoro sottoscritti dalle associazioni dei datori e dei prestatori di lavoro comparativamente più rappresentative sul piano nazionale […]”.</w:t>
      </w:r>
    </w:p>
    <w:p w14:paraId="1E37A1C7" w14:textId="77777777" w:rsidR="004757E7" w:rsidRPr="00433D85" w:rsidRDefault="004757E7" w:rsidP="004757E7">
      <w:pPr>
        <w:spacing w:after="0"/>
        <w:jc w:val="both"/>
        <w:rPr>
          <w:rFonts w:ascii="Times New Roman" w:hAnsi="Times New Roman" w:cs="Times New Roman"/>
          <w:sz w:val="24"/>
          <w:szCs w:val="24"/>
        </w:rPr>
      </w:pPr>
    </w:p>
    <w:p w14:paraId="5746095C" w14:textId="77777777" w:rsidR="004757E7" w:rsidRPr="00433D85" w:rsidRDefault="004757E7" w:rsidP="004757E7">
      <w:pPr>
        <w:spacing w:after="0"/>
        <w:jc w:val="both"/>
        <w:rPr>
          <w:rFonts w:ascii="Times New Roman" w:hAnsi="Times New Roman" w:cs="Times New Roman"/>
          <w:sz w:val="24"/>
          <w:szCs w:val="24"/>
        </w:rPr>
      </w:pPr>
      <w:r w:rsidRPr="00433D85">
        <w:rPr>
          <w:rFonts w:ascii="Times New Roman" w:hAnsi="Times New Roman" w:cs="Times New Roman"/>
          <w:sz w:val="24"/>
          <w:szCs w:val="24"/>
        </w:rPr>
        <w:t>Nel dare attuazione al criterio di delega, il legislatore delegato ha previsto la disciplina dell’istituto della “revisione prezzi” nell’art. 60 del Codice stabilendo che essa si attiva “</w:t>
      </w:r>
      <w:r w:rsidRPr="00433D85">
        <w:rPr>
          <w:rFonts w:ascii="Times New Roman" w:hAnsi="Times New Roman" w:cs="Times New Roman"/>
          <w:b/>
          <w:bCs/>
          <w:sz w:val="24"/>
          <w:szCs w:val="24"/>
        </w:rPr>
        <w:t>al verificarsi di particolari condizioni di natura oggettiva,</w:t>
      </w:r>
      <w:r w:rsidRPr="00433D85">
        <w:rPr>
          <w:rFonts w:ascii="Times New Roman" w:hAnsi="Times New Roman" w:cs="Times New Roman"/>
          <w:sz w:val="24"/>
          <w:szCs w:val="24"/>
        </w:rPr>
        <w:t xml:space="preserve"> che determinano una variazione del costo dell’opera, della fornitura o del servizio, in aumento o in diminuzione, superiore al 5 per cento dell’importo complessivo e operano nella misura dell’80 per cento della variazione stessa, in relazione alle prestazioni da eseguire”.</w:t>
      </w:r>
    </w:p>
    <w:p w14:paraId="34E205DC" w14:textId="77777777" w:rsidR="004757E7" w:rsidRPr="00433D85" w:rsidRDefault="004757E7" w:rsidP="004757E7">
      <w:pPr>
        <w:spacing w:after="0"/>
        <w:jc w:val="both"/>
        <w:rPr>
          <w:rFonts w:ascii="Times New Roman" w:hAnsi="Times New Roman" w:cs="Times New Roman"/>
          <w:sz w:val="24"/>
          <w:szCs w:val="24"/>
        </w:rPr>
      </w:pPr>
      <w:r w:rsidRPr="00433D85">
        <w:rPr>
          <w:rFonts w:ascii="Times New Roman" w:hAnsi="Times New Roman" w:cs="Times New Roman"/>
          <w:b/>
          <w:bCs/>
          <w:sz w:val="24"/>
          <w:szCs w:val="24"/>
        </w:rPr>
        <w:t xml:space="preserve">Per determinare la variazione dei costi (e dei prezzi) </w:t>
      </w:r>
      <w:r w:rsidRPr="00433D85">
        <w:rPr>
          <w:rFonts w:ascii="Times New Roman" w:hAnsi="Times New Roman" w:cs="Times New Roman"/>
          <w:sz w:val="24"/>
          <w:szCs w:val="24"/>
        </w:rPr>
        <w:t>vengano utilizzati gli “indici sintetici elaborati dall'</w:t>
      </w:r>
      <w:r w:rsidRPr="00433D85">
        <w:rPr>
          <w:rFonts w:ascii="Times New Roman" w:hAnsi="Times New Roman" w:cs="Times New Roman"/>
          <w:b/>
          <w:bCs/>
          <w:sz w:val="24"/>
          <w:szCs w:val="24"/>
        </w:rPr>
        <w:t>ISTAT”</w:t>
      </w:r>
      <w:r w:rsidRPr="00433D85">
        <w:rPr>
          <w:rFonts w:ascii="Times New Roman" w:hAnsi="Times New Roman" w:cs="Times New Roman"/>
          <w:sz w:val="24"/>
          <w:szCs w:val="24"/>
        </w:rPr>
        <w:t xml:space="preserve"> previsti per diverse tipologie di contratti, tra cui, per i contratti di servizi, “gli indici delle retribuzioni contrattuali orarie”.</w:t>
      </w:r>
    </w:p>
    <w:p w14:paraId="5E0790ED" w14:textId="77777777" w:rsidR="004757E7" w:rsidRPr="00433D85" w:rsidRDefault="004757E7" w:rsidP="004757E7">
      <w:pPr>
        <w:spacing w:after="0"/>
        <w:jc w:val="both"/>
        <w:rPr>
          <w:rFonts w:ascii="Times New Roman" w:hAnsi="Times New Roman" w:cs="Times New Roman"/>
          <w:sz w:val="24"/>
          <w:szCs w:val="24"/>
        </w:rPr>
      </w:pPr>
    </w:p>
    <w:p w14:paraId="634FC34A" w14:textId="77777777" w:rsidR="004757E7" w:rsidRPr="00433D85" w:rsidRDefault="004757E7" w:rsidP="004757E7">
      <w:pPr>
        <w:spacing w:after="0"/>
        <w:jc w:val="both"/>
        <w:rPr>
          <w:rFonts w:ascii="Times New Roman" w:hAnsi="Times New Roman" w:cs="Times New Roman"/>
          <w:sz w:val="24"/>
          <w:szCs w:val="24"/>
        </w:rPr>
      </w:pPr>
      <w:r w:rsidRPr="00433D85">
        <w:rPr>
          <w:rFonts w:ascii="Times New Roman" w:hAnsi="Times New Roman" w:cs="Times New Roman"/>
          <w:sz w:val="24"/>
          <w:szCs w:val="24"/>
        </w:rPr>
        <w:t>Dunque, la disciplina sulla revisione dei prezzi riguarda l’aumento dei costi del servizio che dipendono dal “verificarsi di particolari condizioni di natura oggettiva” (anche prevedibili) che comportano un aumento o una diminuzione “superiore al 5 per cento dell’importo complessivo” e tale aumento viene riconosciuto “nella misura dell’80 per cento della variazione stessa”.</w:t>
      </w:r>
    </w:p>
    <w:p w14:paraId="0603DD01" w14:textId="77777777" w:rsidR="004757E7" w:rsidRPr="00433D85" w:rsidRDefault="004757E7" w:rsidP="004757E7">
      <w:pPr>
        <w:spacing w:after="0"/>
        <w:jc w:val="both"/>
        <w:rPr>
          <w:rFonts w:ascii="Times New Roman" w:hAnsi="Times New Roman" w:cs="Times New Roman"/>
          <w:sz w:val="24"/>
          <w:szCs w:val="24"/>
        </w:rPr>
      </w:pPr>
    </w:p>
    <w:p w14:paraId="5D423126" w14:textId="77777777" w:rsidR="004757E7" w:rsidRDefault="004757E7" w:rsidP="004757E7">
      <w:pPr>
        <w:spacing w:after="0"/>
        <w:jc w:val="both"/>
        <w:rPr>
          <w:rFonts w:ascii="Times New Roman" w:hAnsi="Times New Roman" w:cs="Times New Roman"/>
          <w:sz w:val="24"/>
          <w:szCs w:val="24"/>
        </w:rPr>
      </w:pPr>
      <w:r w:rsidRPr="00433D85">
        <w:rPr>
          <w:rFonts w:ascii="Times New Roman" w:hAnsi="Times New Roman" w:cs="Times New Roman"/>
          <w:b/>
          <w:bCs/>
          <w:sz w:val="24"/>
          <w:szCs w:val="24"/>
        </w:rPr>
        <w:t>L’aumento del trattamento salariale minimo retributivo</w:t>
      </w:r>
      <w:r w:rsidRPr="00433D85">
        <w:rPr>
          <w:rFonts w:ascii="Times New Roman" w:hAnsi="Times New Roman" w:cs="Times New Roman"/>
          <w:sz w:val="24"/>
          <w:szCs w:val="24"/>
        </w:rPr>
        <w:t xml:space="preserve">, riconosciuto dal rinnovo contrattuale </w:t>
      </w:r>
      <w:r w:rsidRPr="00433D85">
        <w:rPr>
          <w:rFonts w:ascii="Times New Roman" w:hAnsi="Times New Roman" w:cs="Times New Roman"/>
          <w:b/>
          <w:bCs/>
          <w:sz w:val="24"/>
          <w:szCs w:val="24"/>
        </w:rPr>
        <w:t>avvenuto prima della partecipazione alla gara</w:t>
      </w:r>
      <w:r w:rsidRPr="00433D85">
        <w:rPr>
          <w:rFonts w:ascii="Times New Roman" w:hAnsi="Times New Roman" w:cs="Times New Roman"/>
          <w:sz w:val="24"/>
          <w:szCs w:val="24"/>
        </w:rPr>
        <w:t xml:space="preserve">, rimane tuttavia </w:t>
      </w:r>
      <w:r w:rsidRPr="00433D85">
        <w:rPr>
          <w:rFonts w:ascii="Times New Roman" w:hAnsi="Times New Roman" w:cs="Times New Roman"/>
          <w:b/>
          <w:bCs/>
          <w:sz w:val="24"/>
          <w:szCs w:val="24"/>
        </w:rPr>
        <w:t>estraneo</w:t>
      </w:r>
      <w:r w:rsidRPr="00433D85">
        <w:rPr>
          <w:rFonts w:ascii="Times New Roman" w:hAnsi="Times New Roman" w:cs="Times New Roman"/>
          <w:sz w:val="24"/>
          <w:szCs w:val="24"/>
        </w:rPr>
        <w:t xml:space="preserve"> alla disciplina sulla revisione dei prezzi poiché </w:t>
      </w:r>
      <w:r w:rsidRPr="00433D85">
        <w:rPr>
          <w:rFonts w:ascii="Times New Roman" w:hAnsi="Times New Roman" w:cs="Times New Roman"/>
          <w:b/>
          <w:bCs/>
          <w:sz w:val="24"/>
          <w:szCs w:val="24"/>
        </w:rPr>
        <w:t>non è una sopravvenienza</w:t>
      </w:r>
      <w:r w:rsidRPr="00433D85">
        <w:rPr>
          <w:rFonts w:ascii="Times New Roman" w:hAnsi="Times New Roman" w:cs="Times New Roman"/>
          <w:sz w:val="24"/>
          <w:szCs w:val="24"/>
        </w:rPr>
        <w:t xml:space="preserve"> che si verifica nella </w:t>
      </w:r>
      <w:r w:rsidRPr="00433D85">
        <w:rPr>
          <w:rFonts w:ascii="Times New Roman" w:hAnsi="Times New Roman" w:cs="Times New Roman"/>
          <w:b/>
          <w:bCs/>
          <w:sz w:val="24"/>
          <w:szCs w:val="24"/>
        </w:rPr>
        <w:t>fase esecutiva</w:t>
      </w:r>
      <w:r w:rsidRPr="00433D85">
        <w:rPr>
          <w:rFonts w:ascii="Times New Roman" w:hAnsi="Times New Roman" w:cs="Times New Roman"/>
          <w:sz w:val="24"/>
          <w:szCs w:val="24"/>
        </w:rPr>
        <w:t xml:space="preserve"> del rapporto, ma è un dato economico presente al tempo della pubblicazione della gara che l’operatore deve prendere in considerazione al momento della redazione dell’offerta. L’aumento salariale è dunque un evento certo sia sotto il profilo </w:t>
      </w:r>
      <w:proofErr w:type="spellStart"/>
      <w:r w:rsidRPr="00433D85">
        <w:rPr>
          <w:rFonts w:ascii="Times New Roman" w:hAnsi="Times New Roman" w:cs="Times New Roman"/>
          <w:sz w:val="24"/>
          <w:szCs w:val="24"/>
        </w:rPr>
        <w:t>dell’an</w:t>
      </w:r>
      <w:proofErr w:type="spellEnd"/>
      <w:r w:rsidRPr="00433D85">
        <w:rPr>
          <w:rFonts w:ascii="Times New Roman" w:hAnsi="Times New Roman" w:cs="Times New Roman"/>
          <w:sz w:val="24"/>
          <w:szCs w:val="24"/>
        </w:rPr>
        <w:t xml:space="preserve"> che del quantum.</w:t>
      </w:r>
      <w:r>
        <w:rPr>
          <w:rFonts w:ascii="Times New Roman" w:hAnsi="Times New Roman" w:cs="Times New Roman"/>
          <w:sz w:val="24"/>
          <w:szCs w:val="24"/>
        </w:rPr>
        <w:t xml:space="preserve"> </w:t>
      </w:r>
    </w:p>
    <w:p w14:paraId="4F646B13" w14:textId="77777777" w:rsidR="004757E7" w:rsidRDefault="004757E7" w:rsidP="004757E7">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14:paraId="470F2E6D" w14:textId="77777777" w:rsidR="004757E7" w:rsidRDefault="004757E7" w:rsidP="00CB7339">
      <w:pPr>
        <w:spacing w:after="0"/>
        <w:jc w:val="both"/>
        <w:rPr>
          <w:rFonts w:ascii="Times New Roman" w:hAnsi="Times New Roman" w:cs="Times New Roman"/>
          <w:color w:val="000000"/>
          <w:sz w:val="24"/>
          <w:szCs w:val="24"/>
        </w:rPr>
      </w:pPr>
    </w:p>
    <w:p w14:paraId="34BD6B86" w14:textId="69A74FE5" w:rsidR="004A198E" w:rsidRPr="004A198E" w:rsidRDefault="004A198E" w:rsidP="00CB7339">
      <w:pPr>
        <w:spacing w:after="0"/>
        <w:jc w:val="both"/>
        <w:rPr>
          <w:rFonts w:ascii="Times New Roman" w:hAnsi="Times New Roman" w:cs="Times New Roman"/>
          <w:b/>
          <w:bCs/>
          <w:color w:val="000000"/>
          <w:sz w:val="24"/>
          <w:szCs w:val="24"/>
        </w:rPr>
      </w:pPr>
      <w:r w:rsidRPr="004A198E">
        <w:rPr>
          <w:rFonts w:ascii="Times New Roman" w:hAnsi="Times New Roman" w:cs="Times New Roman"/>
          <w:b/>
          <w:bCs/>
          <w:color w:val="000000"/>
          <w:sz w:val="24"/>
          <w:szCs w:val="24"/>
        </w:rPr>
        <w:t>Tar lazio, Roma, sez. III quater, 27.01.2025, n. 1626</w:t>
      </w:r>
    </w:p>
    <w:p w14:paraId="70680A5F" w14:textId="6EC62CBD" w:rsidR="004A198E" w:rsidRPr="004A198E" w:rsidRDefault="004A198E" w:rsidP="00CB7339">
      <w:pPr>
        <w:spacing w:after="0"/>
        <w:jc w:val="both"/>
        <w:rPr>
          <w:rFonts w:ascii="Times New Roman" w:hAnsi="Times New Roman" w:cs="Times New Roman"/>
          <w:b/>
          <w:bCs/>
          <w:i/>
          <w:iCs/>
          <w:color w:val="000000"/>
          <w:sz w:val="24"/>
          <w:szCs w:val="24"/>
        </w:rPr>
      </w:pPr>
      <w:r w:rsidRPr="004A198E">
        <w:rPr>
          <w:rFonts w:ascii="Times New Roman" w:hAnsi="Times New Roman" w:cs="Times New Roman"/>
          <w:b/>
          <w:bCs/>
          <w:i/>
          <w:iCs/>
          <w:color w:val="000000"/>
          <w:sz w:val="24"/>
          <w:szCs w:val="24"/>
        </w:rPr>
        <w:t>Sull’obbligo di provvedere in caso di richiesta di revisione prezzi</w:t>
      </w:r>
    </w:p>
    <w:p w14:paraId="128491A7" w14:textId="77777777" w:rsidR="004A198E" w:rsidRPr="004A198E" w:rsidRDefault="004A198E" w:rsidP="004A198E">
      <w:pPr>
        <w:spacing w:after="0"/>
        <w:jc w:val="both"/>
        <w:rPr>
          <w:rFonts w:ascii="Times New Roman" w:hAnsi="Times New Roman" w:cs="Times New Roman"/>
          <w:sz w:val="24"/>
          <w:szCs w:val="24"/>
        </w:rPr>
      </w:pPr>
      <w:r w:rsidRPr="004A198E">
        <w:rPr>
          <w:rFonts w:ascii="Times New Roman" w:hAnsi="Times New Roman" w:cs="Times New Roman"/>
          <w:sz w:val="24"/>
          <w:szCs w:val="24"/>
        </w:rPr>
        <w:t xml:space="preserve">Sussistendo, per quanto detto, l’obbligo di provvedere in capo alla P.A., ne discende, conseguentemente, </w:t>
      </w:r>
      <w:r w:rsidRPr="004A198E">
        <w:rPr>
          <w:rFonts w:ascii="Times New Roman" w:hAnsi="Times New Roman" w:cs="Times New Roman"/>
          <w:b/>
          <w:bCs/>
          <w:sz w:val="24"/>
          <w:szCs w:val="24"/>
        </w:rPr>
        <w:t xml:space="preserve">l’illegittimità del silenzio serbato dalla ASL Roma 5 sulla predetta istanza di revisione del prezzo </w:t>
      </w:r>
      <w:r w:rsidRPr="004A198E">
        <w:rPr>
          <w:rFonts w:ascii="Times New Roman" w:hAnsi="Times New Roman" w:cs="Times New Roman"/>
          <w:sz w:val="24"/>
          <w:szCs w:val="24"/>
        </w:rPr>
        <w:t xml:space="preserve">avanzata dalla ricorrente, </w:t>
      </w:r>
      <w:r w:rsidRPr="004A198E">
        <w:rPr>
          <w:rFonts w:ascii="Times New Roman" w:hAnsi="Times New Roman" w:cs="Times New Roman"/>
          <w:b/>
          <w:bCs/>
          <w:sz w:val="24"/>
          <w:szCs w:val="24"/>
        </w:rPr>
        <w:t>non avendo l’amministrazione concluso il relativo procedimento, motivatamente determinandosi in senso favorevole o sfavorevole</w:t>
      </w:r>
      <w:r w:rsidRPr="004A198E">
        <w:rPr>
          <w:rFonts w:ascii="Times New Roman" w:hAnsi="Times New Roman" w:cs="Times New Roman"/>
          <w:sz w:val="24"/>
          <w:szCs w:val="24"/>
        </w:rPr>
        <w:t>, con provvedimento espresso, nel termine ordinario prescritto dall’art. 2, comma 2, della legge n. 241 del 1990 (TAR Campania, Napoli, n. 5058 del 2023; TAR Campania, Napoli, n. 2356 del 2022).</w:t>
      </w:r>
    </w:p>
    <w:p w14:paraId="0F97A647" w14:textId="52B0FF00" w:rsidR="004A198E" w:rsidRDefault="004A198E" w:rsidP="004A198E">
      <w:pPr>
        <w:spacing w:after="0"/>
        <w:jc w:val="both"/>
        <w:rPr>
          <w:rFonts w:ascii="Times New Roman" w:hAnsi="Times New Roman" w:cs="Times New Roman"/>
          <w:sz w:val="24"/>
          <w:szCs w:val="24"/>
        </w:rPr>
      </w:pPr>
      <w:r w:rsidRPr="004A198E">
        <w:rPr>
          <w:rFonts w:ascii="Times New Roman" w:hAnsi="Times New Roman" w:cs="Times New Roman"/>
          <w:sz w:val="24"/>
          <w:szCs w:val="24"/>
        </w:rPr>
        <w:t xml:space="preserve">In relazione alle eccezioni formulate dall’amministrazione resistente, che impedirebbero, a suo dire, il riconoscimento dell’adeguamento prezzi, il Collegio rileva che, come correttamente dedotto dalla società ricorrente, si tratta di </w:t>
      </w:r>
      <w:r w:rsidRPr="004A198E">
        <w:rPr>
          <w:rFonts w:ascii="Times New Roman" w:hAnsi="Times New Roman" w:cs="Times New Roman"/>
          <w:b/>
          <w:bCs/>
          <w:sz w:val="24"/>
          <w:szCs w:val="24"/>
        </w:rPr>
        <w:t xml:space="preserve">ragioni che l’amministrazione stessa deve eventualmente far valere </w:t>
      </w:r>
      <w:r w:rsidRPr="004A198E">
        <w:rPr>
          <w:rFonts w:ascii="Times New Roman" w:hAnsi="Times New Roman" w:cs="Times New Roman"/>
          <w:b/>
          <w:bCs/>
          <w:sz w:val="24"/>
          <w:szCs w:val="24"/>
        </w:rPr>
        <w:lastRenderedPageBreak/>
        <w:t>in sede procedimentale e provvedimentale</w:t>
      </w:r>
      <w:r w:rsidRPr="004A198E">
        <w:rPr>
          <w:rFonts w:ascii="Times New Roman" w:hAnsi="Times New Roman" w:cs="Times New Roman"/>
          <w:sz w:val="24"/>
          <w:szCs w:val="24"/>
        </w:rPr>
        <w:t>, qualora ritenga appunto insussistenti i presupposti della revisione dei prezzi.</w:t>
      </w:r>
      <w:r>
        <w:rPr>
          <w:rFonts w:ascii="Times New Roman" w:hAnsi="Times New Roman" w:cs="Times New Roman"/>
          <w:sz w:val="24"/>
          <w:szCs w:val="24"/>
        </w:rPr>
        <w:t xml:space="preserve"> </w:t>
      </w:r>
    </w:p>
    <w:p w14:paraId="2F9CC90C" w14:textId="4D28872C" w:rsidR="004A198E" w:rsidRDefault="004A198E" w:rsidP="004A198E">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 </w:t>
      </w:r>
    </w:p>
    <w:p w14:paraId="76336E03" w14:textId="77777777" w:rsidR="003C7670" w:rsidRDefault="003C7670">
      <w:pPr>
        <w:spacing w:after="0"/>
        <w:jc w:val="both"/>
        <w:rPr>
          <w:rFonts w:ascii="Times New Roman" w:hAnsi="Times New Roman" w:cs="Times New Roman"/>
          <w:b/>
          <w:bCs/>
          <w:sz w:val="24"/>
          <w:szCs w:val="24"/>
        </w:rPr>
      </w:pPr>
    </w:p>
    <w:sectPr w:rsidR="003C76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03B13"/>
    <w:multiLevelType w:val="hybridMultilevel"/>
    <w:tmpl w:val="5D1EB3F8"/>
    <w:lvl w:ilvl="0" w:tplc="0B1C8F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25137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7BB"/>
    <w:rsid w:val="0000188F"/>
    <w:rsid w:val="00014B86"/>
    <w:rsid w:val="000264B8"/>
    <w:rsid w:val="00031E46"/>
    <w:rsid w:val="00046C4E"/>
    <w:rsid w:val="000768F0"/>
    <w:rsid w:val="000B2DC8"/>
    <w:rsid w:val="000F31A2"/>
    <w:rsid w:val="00101B3F"/>
    <w:rsid w:val="001147E9"/>
    <w:rsid w:val="00151458"/>
    <w:rsid w:val="001E2477"/>
    <w:rsid w:val="001F1918"/>
    <w:rsid w:val="001F2817"/>
    <w:rsid w:val="0025353E"/>
    <w:rsid w:val="0029508D"/>
    <w:rsid w:val="00296AA2"/>
    <w:rsid w:val="002B64DD"/>
    <w:rsid w:val="002E458B"/>
    <w:rsid w:val="002F2674"/>
    <w:rsid w:val="003005F1"/>
    <w:rsid w:val="003006D5"/>
    <w:rsid w:val="003014F0"/>
    <w:rsid w:val="00305856"/>
    <w:rsid w:val="0032267B"/>
    <w:rsid w:val="003314AE"/>
    <w:rsid w:val="0034202A"/>
    <w:rsid w:val="003717BB"/>
    <w:rsid w:val="003C72D6"/>
    <w:rsid w:val="003C7670"/>
    <w:rsid w:val="003D7BEB"/>
    <w:rsid w:val="0042293F"/>
    <w:rsid w:val="00433939"/>
    <w:rsid w:val="00433D85"/>
    <w:rsid w:val="00444864"/>
    <w:rsid w:val="00446F25"/>
    <w:rsid w:val="004579C1"/>
    <w:rsid w:val="004709D3"/>
    <w:rsid w:val="004757E7"/>
    <w:rsid w:val="00482CFA"/>
    <w:rsid w:val="004A198E"/>
    <w:rsid w:val="004C4519"/>
    <w:rsid w:val="004E1C9C"/>
    <w:rsid w:val="005252CF"/>
    <w:rsid w:val="0053519E"/>
    <w:rsid w:val="005771DD"/>
    <w:rsid w:val="005B6204"/>
    <w:rsid w:val="00623926"/>
    <w:rsid w:val="0064449F"/>
    <w:rsid w:val="00656217"/>
    <w:rsid w:val="00671497"/>
    <w:rsid w:val="006A2091"/>
    <w:rsid w:val="006E20B8"/>
    <w:rsid w:val="006E3E49"/>
    <w:rsid w:val="007227A3"/>
    <w:rsid w:val="00753F84"/>
    <w:rsid w:val="00761DD4"/>
    <w:rsid w:val="0076483B"/>
    <w:rsid w:val="00767F01"/>
    <w:rsid w:val="007F57CD"/>
    <w:rsid w:val="008438BA"/>
    <w:rsid w:val="00847B1A"/>
    <w:rsid w:val="0085097A"/>
    <w:rsid w:val="008755AB"/>
    <w:rsid w:val="00901F33"/>
    <w:rsid w:val="00910DEE"/>
    <w:rsid w:val="00975289"/>
    <w:rsid w:val="00990927"/>
    <w:rsid w:val="009918B3"/>
    <w:rsid w:val="009F221E"/>
    <w:rsid w:val="00A450D1"/>
    <w:rsid w:val="00A46D80"/>
    <w:rsid w:val="00A9652B"/>
    <w:rsid w:val="00AC31D1"/>
    <w:rsid w:val="00B039CD"/>
    <w:rsid w:val="00B15374"/>
    <w:rsid w:val="00B15F42"/>
    <w:rsid w:val="00B24D36"/>
    <w:rsid w:val="00B31CC1"/>
    <w:rsid w:val="00B375B1"/>
    <w:rsid w:val="00B46890"/>
    <w:rsid w:val="00B7133D"/>
    <w:rsid w:val="00BA0569"/>
    <w:rsid w:val="00BA7B54"/>
    <w:rsid w:val="00BB75AD"/>
    <w:rsid w:val="00BE0FE6"/>
    <w:rsid w:val="00C4444E"/>
    <w:rsid w:val="00CA1120"/>
    <w:rsid w:val="00CB7339"/>
    <w:rsid w:val="00D515A6"/>
    <w:rsid w:val="00DB3207"/>
    <w:rsid w:val="00DC3244"/>
    <w:rsid w:val="00DC551E"/>
    <w:rsid w:val="00E3121D"/>
    <w:rsid w:val="00E344F9"/>
    <w:rsid w:val="00EC22FB"/>
    <w:rsid w:val="00EC5185"/>
    <w:rsid w:val="00EE5EE7"/>
    <w:rsid w:val="00FC6FDF"/>
    <w:rsid w:val="00FD4602"/>
    <w:rsid w:val="00FD6EC8"/>
    <w:rsid w:val="00FD7E53"/>
    <w:rsid w:val="00FF1E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575F"/>
  <w15:chartTrackingRefBased/>
  <w15:docId w15:val="{5CB7C81B-B87B-4D69-8EF2-AA6E78BB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DEE"/>
  </w:style>
  <w:style w:type="paragraph" w:styleId="Titolo1">
    <w:name w:val="heading 1"/>
    <w:basedOn w:val="Normale"/>
    <w:next w:val="Normale"/>
    <w:link w:val="Titolo1Carattere"/>
    <w:uiPriority w:val="9"/>
    <w:qFormat/>
    <w:rsid w:val="003717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unhideWhenUsed/>
    <w:qFormat/>
    <w:rsid w:val="003717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3717B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3717B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3717B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3717B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717B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717B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717B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717B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rsid w:val="003717B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3717B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3717B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3717B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3717B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717B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717B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717BB"/>
    <w:rPr>
      <w:rFonts w:eastAsiaTheme="majorEastAsia" w:cstheme="majorBidi"/>
      <w:color w:val="272727" w:themeColor="text1" w:themeTint="D8"/>
    </w:rPr>
  </w:style>
  <w:style w:type="paragraph" w:styleId="Titolo">
    <w:name w:val="Title"/>
    <w:basedOn w:val="Normale"/>
    <w:next w:val="Normale"/>
    <w:link w:val="TitoloCarattere"/>
    <w:uiPriority w:val="10"/>
    <w:qFormat/>
    <w:rsid w:val="003717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717B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717B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717B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717B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717BB"/>
    <w:rPr>
      <w:i/>
      <w:iCs/>
      <w:color w:val="404040" w:themeColor="text1" w:themeTint="BF"/>
    </w:rPr>
  </w:style>
  <w:style w:type="paragraph" w:styleId="Paragrafoelenco">
    <w:name w:val="List Paragraph"/>
    <w:basedOn w:val="Normale"/>
    <w:uiPriority w:val="34"/>
    <w:qFormat/>
    <w:rsid w:val="003717BB"/>
    <w:pPr>
      <w:ind w:left="720"/>
      <w:contextualSpacing/>
    </w:pPr>
  </w:style>
  <w:style w:type="character" w:styleId="Enfasiintensa">
    <w:name w:val="Intense Emphasis"/>
    <w:basedOn w:val="Carpredefinitoparagrafo"/>
    <w:uiPriority w:val="21"/>
    <w:qFormat/>
    <w:rsid w:val="003717BB"/>
    <w:rPr>
      <w:i/>
      <w:iCs/>
      <w:color w:val="2F5496" w:themeColor="accent1" w:themeShade="BF"/>
    </w:rPr>
  </w:style>
  <w:style w:type="paragraph" w:styleId="Citazioneintensa">
    <w:name w:val="Intense Quote"/>
    <w:basedOn w:val="Normale"/>
    <w:next w:val="Normale"/>
    <w:link w:val="CitazioneintensaCarattere"/>
    <w:uiPriority w:val="30"/>
    <w:qFormat/>
    <w:rsid w:val="003717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3717BB"/>
    <w:rPr>
      <w:i/>
      <w:iCs/>
      <w:color w:val="2F5496" w:themeColor="accent1" w:themeShade="BF"/>
    </w:rPr>
  </w:style>
  <w:style w:type="character" w:styleId="Riferimentointenso">
    <w:name w:val="Intense Reference"/>
    <w:basedOn w:val="Carpredefinitoparagrafo"/>
    <w:uiPriority w:val="32"/>
    <w:qFormat/>
    <w:rsid w:val="003717BB"/>
    <w:rPr>
      <w:b/>
      <w:bCs/>
      <w:smallCaps/>
      <w:color w:val="2F5496" w:themeColor="accent1" w:themeShade="BF"/>
      <w:spacing w:val="5"/>
    </w:rPr>
  </w:style>
  <w:style w:type="character" w:styleId="Collegamentoipertestuale">
    <w:name w:val="Hyperlink"/>
    <w:basedOn w:val="Carpredefinitoparagrafo"/>
    <w:uiPriority w:val="99"/>
    <w:unhideWhenUsed/>
    <w:rsid w:val="00671497"/>
    <w:rPr>
      <w:color w:val="0563C1" w:themeColor="hyperlink"/>
      <w:u w:val="single"/>
    </w:rPr>
  </w:style>
  <w:style w:type="character" w:styleId="Menzionenonrisolta">
    <w:name w:val="Unresolved Mention"/>
    <w:basedOn w:val="Carpredefinitoparagrafo"/>
    <w:uiPriority w:val="99"/>
    <w:semiHidden/>
    <w:unhideWhenUsed/>
    <w:rsid w:val="00671497"/>
    <w:rPr>
      <w:color w:val="605E5C"/>
      <w:shd w:val="clear" w:color="auto" w:fill="E1DFDD"/>
    </w:rPr>
  </w:style>
  <w:style w:type="paragraph" w:styleId="NormaleWeb">
    <w:name w:val="Normal (Web)"/>
    <w:basedOn w:val="Normale"/>
    <w:uiPriority w:val="99"/>
    <w:semiHidden/>
    <w:unhideWhenUsed/>
    <w:rsid w:val="00901F33"/>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901F33"/>
    <w:rPr>
      <w:b/>
      <w:bCs/>
    </w:rPr>
  </w:style>
  <w:style w:type="character" w:styleId="Enfasicorsivo">
    <w:name w:val="Emphasis"/>
    <w:basedOn w:val="Carpredefinitoparagrafo"/>
    <w:uiPriority w:val="20"/>
    <w:qFormat/>
    <w:rsid w:val="00901F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0545">
      <w:bodyDiv w:val="1"/>
      <w:marLeft w:val="0"/>
      <w:marRight w:val="0"/>
      <w:marTop w:val="0"/>
      <w:marBottom w:val="0"/>
      <w:divBdr>
        <w:top w:val="none" w:sz="0" w:space="0" w:color="auto"/>
        <w:left w:val="none" w:sz="0" w:space="0" w:color="auto"/>
        <w:bottom w:val="none" w:sz="0" w:space="0" w:color="auto"/>
        <w:right w:val="none" w:sz="0" w:space="0" w:color="auto"/>
      </w:divBdr>
    </w:div>
    <w:div w:id="34282527">
      <w:bodyDiv w:val="1"/>
      <w:marLeft w:val="0"/>
      <w:marRight w:val="0"/>
      <w:marTop w:val="0"/>
      <w:marBottom w:val="0"/>
      <w:divBdr>
        <w:top w:val="none" w:sz="0" w:space="0" w:color="auto"/>
        <w:left w:val="none" w:sz="0" w:space="0" w:color="auto"/>
        <w:bottom w:val="none" w:sz="0" w:space="0" w:color="auto"/>
        <w:right w:val="none" w:sz="0" w:space="0" w:color="auto"/>
      </w:divBdr>
    </w:div>
    <w:div w:id="44499434">
      <w:bodyDiv w:val="1"/>
      <w:marLeft w:val="0"/>
      <w:marRight w:val="0"/>
      <w:marTop w:val="0"/>
      <w:marBottom w:val="0"/>
      <w:divBdr>
        <w:top w:val="none" w:sz="0" w:space="0" w:color="auto"/>
        <w:left w:val="none" w:sz="0" w:space="0" w:color="auto"/>
        <w:bottom w:val="none" w:sz="0" w:space="0" w:color="auto"/>
        <w:right w:val="none" w:sz="0" w:space="0" w:color="auto"/>
      </w:divBdr>
    </w:div>
    <w:div w:id="54281293">
      <w:bodyDiv w:val="1"/>
      <w:marLeft w:val="0"/>
      <w:marRight w:val="0"/>
      <w:marTop w:val="0"/>
      <w:marBottom w:val="0"/>
      <w:divBdr>
        <w:top w:val="none" w:sz="0" w:space="0" w:color="auto"/>
        <w:left w:val="none" w:sz="0" w:space="0" w:color="auto"/>
        <w:bottom w:val="none" w:sz="0" w:space="0" w:color="auto"/>
        <w:right w:val="none" w:sz="0" w:space="0" w:color="auto"/>
      </w:divBdr>
    </w:div>
    <w:div w:id="113986120">
      <w:bodyDiv w:val="1"/>
      <w:marLeft w:val="0"/>
      <w:marRight w:val="0"/>
      <w:marTop w:val="0"/>
      <w:marBottom w:val="0"/>
      <w:divBdr>
        <w:top w:val="none" w:sz="0" w:space="0" w:color="auto"/>
        <w:left w:val="none" w:sz="0" w:space="0" w:color="auto"/>
        <w:bottom w:val="none" w:sz="0" w:space="0" w:color="auto"/>
        <w:right w:val="none" w:sz="0" w:space="0" w:color="auto"/>
      </w:divBdr>
    </w:div>
    <w:div w:id="183634123">
      <w:bodyDiv w:val="1"/>
      <w:marLeft w:val="0"/>
      <w:marRight w:val="0"/>
      <w:marTop w:val="0"/>
      <w:marBottom w:val="0"/>
      <w:divBdr>
        <w:top w:val="none" w:sz="0" w:space="0" w:color="auto"/>
        <w:left w:val="none" w:sz="0" w:space="0" w:color="auto"/>
        <w:bottom w:val="none" w:sz="0" w:space="0" w:color="auto"/>
        <w:right w:val="none" w:sz="0" w:space="0" w:color="auto"/>
      </w:divBdr>
    </w:div>
    <w:div w:id="191386024">
      <w:bodyDiv w:val="1"/>
      <w:marLeft w:val="0"/>
      <w:marRight w:val="0"/>
      <w:marTop w:val="0"/>
      <w:marBottom w:val="0"/>
      <w:divBdr>
        <w:top w:val="none" w:sz="0" w:space="0" w:color="auto"/>
        <w:left w:val="none" w:sz="0" w:space="0" w:color="auto"/>
        <w:bottom w:val="none" w:sz="0" w:space="0" w:color="auto"/>
        <w:right w:val="none" w:sz="0" w:space="0" w:color="auto"/>
      </w:divBdr>
    </w:div>
    <w:div w:id="231308627">
      <w:bodyDiv w:val="1"/>
      <w:marLeft w:val="0"/>
      <w:marRight w:val="0"/>
      <w:marTop w:val="0"/>
      <w:marBottom w:val="0"/>
      <w:divBdr>
        <w:top w:val="none" w:sz="0" w:space="0" w:color="auto"/>
        <w:left w:val="none" w:sz="0" w:space="0" w:color="auto"/>
        <w:bottom w:val="none" w:sz="0" w:space="0" w:color="auto"/>
        <w:right w:val="none" w:sz="0" w:space="0" w:color="auto"/>
      </w:divBdr>
    </w:div>
    <w:div w:id="241840628">
      <w:bodyDiv w:val="1"/>
      <w:marLeft w:val="0"/>
      <w:marRight w:val="0"/>
      <w:marTop w:val="0"/>
      <w:marBottom w:val="0"/>
      <w:divBdr>
        <w:top w:val="none" w:sz="0" w:space="0" w:color="auto"/>
        <w:left w:val="none" w:sz="0" w:space="0" w:color="auto"/>
        <w:bottom w:val="none" w:sz="0" w:space="0" w:color="auto"/>
        <w:right w:val="none" w:sz="0" w:space="0" w:color="auto"/>
      </w:divBdr>
    </w:div>
    <w:div w:id="271667461">
      <w:bodyDiv w:val="1"/>
      <w:marLeft w:val="0"/>
      <w:marRight w:val="0"/>
      <w:marTop w:val="0"/>
      <w:marBottom w:val="0"/>
      <w:divBdr>
        <w:top w:val="none" w:sz="0" w:space="0" w:color="auto"/>
        <w:left w:val="none" w:sz="0" w:space="0" w:color="auto"/>
        <w:bottom w:val="none" w:sz="0" w:space="0" w:color="auto"/>
        <w:right w:val="none" w:sz="0" w:space="0" w:color="auto"/>
      </w:divBdr>
    </w:div>
    <w:div w:id="289434018">
      <w:bodyDiv w:val="1"/>
      <w:marLeft w:val="0"/>
      <w:marRight w:val="0"/>
      <w:marTop w:val="0"/>
      <w:marBottom w:val="0"/>
      <w:divBdr>
        <w:top w:val="none" w:sz="0" w:space="0" w:color="auto"/>
        <w:left w:val="none" w:sz="0" w:space="0" w:color="auto"/>
        <w:bottom w:val="none" w:sz="0" w:space="0" w:color="auto"/>
        <w:right w:val="none" w:sz="0" w:space="0" w:color="auto"/>
      </w:divBdr>
    </w:div>
    <w:div w:id="309092088">
      <w:bodyDiv w:val="1"/>
      <w:marLeft w:val="0"/>
      <w:marRight w:val="0"/>
      <w:marTop w:val="0"/>
      <w:marBottom w:val="0"/>
      <w:divBdr>
        <w:top w:val="none" w:sz="0" w:space="0" w:color="auto"/>
        <w:left w:val="none" w:sz="0" w:space="0" w:color="auto"/>
        <w:bottom w:val="none" w:sz="0" w:space="0" w:color="auto"/>
        <w:right w:val="none" w:sz="0" w:space="0" w:color="auto"/>
      </w:divBdr>
    </w:div>
    <w:div w:id="320623843">
      <w:bodyDiv w:val="1"/>
      <w:marLeft w:val="0"/>
      <w:marRight w:val="0"/>
      <w:marTop w:val="0"/>
      <w:marBottom w:val="0"/>
      <w:divBdr>
        <w:top w:val="none" w:sz="0" w:space="0" w:color="auto"/>
        <w:left w:val="none" w:sz="0" w:space="0" w:color="auto"/>
        <w:bottom w:val="none" w:sz="0" w:space="0" w:color="auto"/>
        <w:right w:val="none" w:sz="0" w:space="0" w:color="auto"/>
      </w:divBdr>
    </w:div>
    <w:div w:id="383601614">
      <w:bodyDiv w:val="1"/>
      <w:marLeft w:val="0"/>
      <w:marRight w:val="0"/>
      <w:marTop w:val="0"/>
      <w:marBottom w:val="0"/>
      <w:divBdr>
        <w:top w:val="none" w:sz="0" w:space="0" w:color="auto"/>
        <w:left w:val="none" w:sz="0" w:space="0" w:color="auto"/>
        <w:bottom w:val="none" w:sz="0" w:space="0" w:color="auto"/>
        <w:right w:val="none" w:sz="0" w:space="0" w:color="auto"/>
      </w:divBdr>
    </w:div>
    <w:div w:id="386681972">
      <w:bodyDiv w:val="1"/>
      <w:marLeft w:val="0"/>
      <w:marRight w:val="0"/>
      <w:marTop w:val="0"/>
      <w:marBottom w:val="0"/>
      <w:divBdr>
        <w:top w:val="none" w:sz="0" w:space="0" w:color="auto"/>
        <w:left w:val="none" w:sz="0" w:space="0" w:color="auto"/>
        <w:bottom w:val="none" w:sz="0" w:space="0" w:color="auto"/>
        <w:right w:val="none" w:sz="0" w:space="0" w:color="auto"/>
      </w:divBdr>
    </w:div>
    <w:div w:id="487593124">
      <w:bodyDiv w:val="1"/>
      <w:marLeft w:val="0"/>
      <w:marRight w:val="0"/>
      <w:marTop w:val="0"/>
      <w:marBottom w:val="0"/>
      <w:divBdr>
        <w:top w:val="none" w:sz="0" w:space="0" w:color="auto"/>
        <w:left w:val="none" w:sz="0" w:space="0" w:color="auto"/>
        <w:bottom w:val="none" w:sz="0" w:space="0" w:color="auto"/>
        <w:right w:val="none" w:sz="0" w:space="0" w:color="auto"/>
      </w:divBdr>
    </w:div>
    <w:div w:id="504368071">
      <w:bodyDiv w:val="1"/>
      <w:marLeft w:val="0"/>
      <w:marRight w:val="0"/>
      <w:marTop w:val="0"/>
      <w:marBottom w:val="0"/>
      <w:divBdr>
        <w:top w:val="none" w:sz="0" w:space="0" w:color="auto"/>
        <w:left w:val="none" w:sz="0" w:space="0" w:color="auto"/>
        <w:bottom w:val="none" w:sz="0" w:space="0" w:color="auto"/>
        <w:right w:val="none" w:sz="0" w:space="0" w:color="auto"/>
      </w:divBdr>
    </w:div>
    <w:div w:id="515342241">
      <w:bodyDiv w:val="1"/>
      <w:marLeft w:val="0"/>
      <w:marRight w:val="0"/>
      <w:marTop w:val="0"/>
      <w:marBottom w:val="0"/>
      <w:divBdr>
        <w:top w:val="none" w:sz="0" w:space="0" w:color="auto"/>
        <w:left w:val="none" w:sz="0" w:space="0" w:color="auto"/>
        <w:bottom w:val="none" w:sz="0" w:space="0" w:color="auto"/>
        <w:right w:val="none" w:sz="0" w:space="0" w:color="auto"/>
      </w:divBdr>
    </w:div>
    <w:div w:id="522668325">
      <w:bodyDiv w:val="1"/>
      <w:marLeft w:val="0"/>
      <w:marRight w:val="0"/>
      <w:marTop w:val="0"/>
      <w:marBottom w:val="0"/>
      <w:divBdr>
        <w:top w:val="none" w:sz="0" w:space="0" w:color="auto"/>
        <w:left w:val="none" w:sz="0" w:space="0" w:color="auto"/>
        <w:bottom w:val="none" w:sz="0" w:space="0" w:color="auto"/>
        <w:right w:val="none" w:sz="0" w:space="0" w:color="auto"/>
      </w:divBdr>
    </w:div>
    <w:div w:id="530922791">
      <w:bodyDiv w:val="1"/>
      <w:marLeft w:val="0"/>
      <w:marRight w:val="0"/>
      <w:marTop w:val="0"/>
      <w:marBottom w:val="0"/>
      <w:divBdr>
        <w:top w:val="none" w:sz="0" w:space="0" w:color="auto"/>
        <w:left w:val="none" w:sz="0" w:space="0" w:color="auto"/>
        <w:bottom w:val="none" w:sz="0" w:space="0" w:color="auto"/>
        <w:right w:val="none" w:sz="0" w:space="0" w:color="auto"/>
      </w:divBdr>
    </w:div>
    <w:div w:id="534731505">
      <w:bodyDiv w:val="1"/>
      <w:marLeft w:val="0"/>
      <w:marRight w:val="0"/>
      <w:marTop w:val="0"/>
      <w:marBottom w:val="0"/>
      <w:divBdr>
        <w:top w:val="none" w:sz="0" w:space="0" w:color="auto"/>
        <w:left w:val="none" w:sz="0" w:space="0" w:color="auto"/>
        <w:bottom w:val="none" w:sz="0" w:space="0" w:color="auto"/>
        <w:right w:val="none" w:sz="0" w:space="0" w:color="auto"/>
      </w:divBdr>
    </w:div>
    <w:div w:id="540477381">
      <w:bodyDiv w:val="1"/>
      <w:marLeft w:val="0"/>
      <w:marRight w:val="0"/>
      <w:marTop w:val="0"/>
      <w:marBottom w:val="0"/>
      <w:divBdr>
        <w:top w:val="none" w:sz="0" w:space="0" w:color="auto"/>
        <w:left w:val="none" w:sz="0" w:space="0" w:color="auto"/>
        <w:bottom w:val="none" w:sz="0" w:space="0" w:color="auto"/>
        <w:right w:val="none" w:sz="0" w:space="0" w:color="auto"/>
      </w:divBdr>
    </w:div>
    <w:div w:id="542449576">
      <w:bodyDiv w:val="1"/>
      <w:marLeft w:val="0"/>
      <w:marRight w:val="0"/>
      <w:marTop w:val="0"/>
      <w:marBottom w:val="0"/>
      <w:divBdr>
        <w:top w:val="none" w:sz="0" w:space="0" w:color="auto"/>
        <w:left w:val="none" w:sz="0" w:space="0" w:color="auto"/>
        <w:bottom w:val="none" w:sz="0" w:space="0" w:color="auto"/>
        <w:right w:val="none" w:sz="0" w:space="0" w:color="auto"/>
      </w:divBdr>
    </w:div>
    <w:div w:id="549533628">
      <w:bodyDiv w:val="1"/>
      <w:marLeft w:val="0"/>
      <w:marRight w:val="0"/>
      <w:marTop w:val="0"/>
      <w:marBottom w:val="0"/>
      <w:divBdr>
        <w:top w:val="none" w:sz="0" w:space="0" w:color="auto"/>
        <w:left w:val="none" w:sz="0" w:space="0" w:color="auto"/>
        <w:bottom w:val="none" w:sz="0" w:space="0" w:color="auto"/>
        <w:right w:val="none" w:sz="0" w:space="0" w:color="auto"/>
      </w:divBdr>
    </w:div>
    <w:div w:id="559168080">
      <w:bodyDiv w:val="1"/>
      <w:marLeft w:val="0"/>
      <w:marRight w:val="0"/>
      <w:marTop w:val="0"/>
      <w:marBottom w:val="0"/>
      <w:divBdr>
        <w:top w:val="none" w:sz="0" w:space="0" w:color="auto"/>
        <w:left w:val="none" w:sz="0" w:space="0" w:color="auto"/>
        <w:bottom w:val="none" w:sz="0" w:space="0" w:color="auto"/>
        <w:right w:val="none" w:sz="0" w:space="0" w:color="auto"/>
      </w:divBdr>
    </w:div>
    <w:div w:id="561016293">
      <w:bodyDiv w:val="1"/>
      <w:marLeft w:val="0"/>
      <w:marRight w:val="0"/>
      <w:marTop w:val="0"/>
      <w:marBottom w:val="0"/>
      <w:divBdr>
        <w:top w:val="none" w:sz="0" w:space="0" w:color="auto"/>
        <w:left w:val="none" w:sz="0" w:space="0" w:color="auto"/>
        <w:bottom w:val="none" w:sz="0" w:space="0" w:color="auto"/>
        <w:right w:val="none" w:sz="0" w:space="0" w:color="auto"/>
      </w:divBdr>
    </w:div>
    <w:div w:id="581330713">
      <w:bodyDiv w:val="1"/>
      <w:marLeft w:val="0"/>
      <w:marRight w:val="0"/>
      <w:marTop w:val="0"/>
      <w:marBottom w:val="0"/>
      <w:divBdr>
        <w:top w:val="none" w:sz="0" w:space="0" w:color="auto"/>
        <w:left w:val="none" w:sz="0" w:space="0" w:color="auto"/>
        <w:bottom w:val="none" w:sz="0" w:space="0" w:color="auto"/>
        <w:right w:val="none" w:sz="0" w:space="0" w:color="auto"/>
      </w:divBdr>
    </w:div>
    <w:div w:id="584270628">
      <w:bodyDiv w:val="1"/>
      <w:marLeft w:val="0"/>
      <w:marRight w:val="0"/>
      <w:marTop w:val="0"/>
      <w:marBottom w:val="0"/>
      <w:divBdr>
        <w:top w:val="none" w:sz="0" w:space="0" w:color="auto"/>
        <w:left w:val="none" w:sz="0" w:space="0" w:color="auto"/>
        <w:bottom w:val="none" w:sz="0" w:space="0" w:color="auto"/>
        <w:right w:val="none" w:sz="0" w:space="0" w:color="auto"/>
      </w:divBdr>
    </w:div>
    <w:div w:id="624240109">
      <w:bodyDiv w:val="1"/>
      <w:marLeft w:val="0"/>
      <w:marRight w:val="0"/>
      <w:marTop w:val="0"/>
      <w:marBottom w:val="0"/>
      <w:divBdr>
        <w:top w:val="none" w:sz="0" w:space="0" w:color="auto"/>
        <w:left w:val="none" w:sz="0" w:space="0" w:color="auto"/>
        <w:bottom w:val="none" w:sz="0" w:space="0" w:color="auto"/>
        <w:right w:val="none" w:sz="0" w:space="0" w:color="auto"/>
      </w:divBdr>
    </w:div>
    <w:div w:id="629870980">
      <w:bodyDiv w:val="1"/>
      <w:marLeft w:val="0"/>
      <w:marRight w:val="0"/>
      <w:marTop w:val="0"/>
      <w:marBottom w:val="0"/>
      <w:divBdr>
        <w:top w:val="none" w:sz="0" w:space="0" w:color="auto"/>
        <w:left w:val="none" w:sz="0" w:space="0" w:color="auto"/>
        <w:bottom w:val="none" w:sz="0" w:space="0" w:color="auto"/>
        <w:right w:val="none" w:sz="0" w:space="0" w:color="auto"/>
      </w:divBdr>
    </w:div>
    <w:div w:id="654141105">
      <w:bodyDiv w:val="1"/>
      <w:marLeft w:val="0"/>
      <w:marRight w:val="0"/>
      <w:marTop w:val="0"/>
      <w:marBottom w:val="0"/>
      <w:divBdr>
        <w:top w:val="none" w:sz="0" w:space="0" w:color="auto"/>
        <w:left w:val="none" w:sz="0" w:space="0" w:color="auto"/>
        <w:bottom w:val="none" w:sz="0" w:space="0" w:color="auto"/>
        <w:right w:val="none" w:sz="0" w:space="0" w:color="auto"/>
      </w:divBdr>
    </w:div>
    <w:div w:id="679548092">
      <w:bodyDiv w:val="1"/>
      <w:marLeft w:val="0"/>
      <w:marRight w:val="0"/>
      <w:marTop w:val="0"/>
      <w:marBottom w:val="0"/>
      <w:divBdr>
        <w:top w:val="none" w:sz="0" w:space="0" w:color="auto"/>
        <w:left w:val="none" w:sz="0" w:space="0" w:color="auto"/>
        <w:bottom w:val="none" w:sz="0" w:space="0" w:color="auto"/>
        <w:right w:val="none" w:sz="0" w:space="0" w:color="auto"/>
      </w:divBdr>
    </w:div>
    <w:div w:id="713430862">
      <w:bodyDiv w:val="1"/>
      <w:marLeft w:val="0"/>
      <w:marRight w:val="0"/>
      <w:marTop w:val="0"/>
      <w:marBottom w:val="0"/>
      <w:divBdr>
        <w:top w:val="none" w:sz="0" w:space="0" w:color="auto"/>
        <w:left w:val="none" w:sz="0" w:space="0" w:color="auto"/>
        <w:bottom w:val="none" w:sz="0" w:space="0" w:color="auto"/>
        <w:right w:val="none" w:sz="0" w:space="0" w:color="auto"/>
      </w:divBdr>
    </w:div>
    <w:div w:id="784883246">
      <w:bodyDiv w:val="1"/>
      <w:marLeft w:val="0"/>
      <w:marRight w:val="0"/>
      <w:marTop w:val="0"/>
      <w:marBottom w:val="0"/>
      <w:divBdr>
        <w:top w:val="none" w:sz="0" w:space="0" w:color="auto"/>
        <w:left w:val="none" w:sz="0" w:space="0" w:color="auto"/>
        <w:bottom w:val="none" w:sz="0" w:space="0" w:color="auto"/>
        <w:right w:val="none" w:sz="0" w:space="0" w:color="auto"/>
      </w:divBdr>
    </w:div>
    <w:div w:id="794567845">
      <w:bodyDiv w:val="1"/>
      <w:marLeft w:val="0"/>
      <w:marRight w:val="0"/>
      <w:marTop w:val="0"/>
      <w:marBottom w:val="0"/>
      <w:divBdr>
        <w:top w:val="none" w:sz="0" w:space="0" w:color="auto"/>
        <w:left w:val="none" w:sz="0" w:space="0" w:color="auto"/>
        <w:bottom w:val="none" w:sz="0" w:space="0" w:color="auto"/>
        <w:right w:val="none" w:sz="0" w:space="0" w:color="auto"/>
      </w:divBdr>
    </w:div>
    <w:div w:id="819232659">
      <w:bodyDiv w:val="1"/>
      <w:marLeft w:val="0"/>
      <w:marRight w:val="0"/>
      <w:marTop w:val="0"/>
      <w:marBottom w:val="0"/>
      <w:divBdr>
        <w:top w:val="none" w:sz="0" w:space="0" w:color="auto"/>
        <w:left w:val="none" w:sz="0" w:space="0" w:color="auto"/>
        <w:bottom w:val="none" w:sz="0" w:space="0" w:color="auto"/>
        <w:right w:val="none" w:sz="0" w:space="0" w:color="auto"/>
      </w:divBdr>
    </w:div>
    <w:div w:id="888762412">
      <w:bodyDiv w:val="1"/>
      <w:marLeft w:val="0"/>
      <w:marRight w:val="0"/>
      <w:marTop w:val="0"/>
      <w:marBottom w:val="0"/>
      <w:divBdr>
        <w:top w:val="none" w:sz="0" w:space="0" w:color="auto"/>
        <w:left w:val="none" w:sz="0" w:space="0" w:color="auto"/>
        <w:bottom w:val="none" w:sz="0" w:space="0" w:color="auto"/>
        <w:right w:val="none" w:sz="0" w:space="0" w:color="auto"/>
      </w:divBdr>
    </w:div>
    <w:div w:id="900216309">
      <w:bodyDiv w:val="1"/>
      <w:marLeft w:val="0"/>
      <w:marRight w:val="0"/>
      <w:marTop w:val="0"/>
      <w:marBottom w:val="0"/>
      <w:divBdr>
        <w:top w:val="none" w:sz="0" w:space="0" w:color="auto"/>
        <w:left w:val="none" w:sz="0" w:space="0" w:color="auto"/>
        <w:bottom w:val="none" w:sz="0" w:space="0" w:color="auto"/>
        <w:right w:val="none" w:sz="0" w:space="0" w:color="auto"/>
      </w:divBdr>
    </w:div>
    <w:div w:id="923418048">
      <w:bodyDiv w:val="1"/>
      <w:marLeft w:val="0"/>
      <w:marRight w:val="0"/>
      <w:marTop w:val="0"/>
      <w:marBottom w:val="0"/>
      <w:divBdr>
        <w:top w:val="none" w:sz="0" w:space="0" w:color="auto"/>
        <w:left w:val="none" w:sz="0" w:space="0" w:color="auto"/>
        <w:bottom w:val="none" w:sz="0" w:space="0" w:color="auto"/>
        <w:right w:val="none" w:sz="0" w:space="0" w:color="auto"/>
      </w:divBdr>
    </w:div>
    <w:div w:id="927884069">
      <w:bodyDiv w:val="1"/>
      <w:marLeft w:val="0"/>
      <w:marRight w:val="0"/>
      <w:marTop w:val="0"/>
      <w:marBottom w:val="0"/>
      <w:divBdr>
        <w:top w:val="none" w:sz="0" w:space="0" w:color="auto"/>
        <w:left w:val="none" w:sz="0" w:space="0" w:color="auto"/>
        <w:bottom w:val="none" w:sz="0" w:space="0" w:color="auto"/>
        <w:right w:val="none" w:sz="0" w:space="0" w:color="auto"/>
      </w:divBdr>
    </w:div>
    <w:div w:id="959146388">
      <w:bodyDiv w:val="1"/>
      <w:marLeft w:val="0"/>
      <w:marRight w:val="0"/>
      <w:marTop w:val="0"/>
      <w:marBottom w:val="0"/>
      <w:divBdr>
        <w:top w:val="none" w:sz="0" w:space="0" w:color="auto"/>
        <w:left w:val="none" w:sz="0" w:space="0" w:color="auto"/>
        <w:bottom w:val="none" w:sz="0" w:space="0" w:color="auto"/>
        <w:right w:val="none" w:sz="0" w:space="0" w:color="auto"/>
      </w:divBdr>
    </w:div>
    <w:div w:id="964387528">
      <w:bodyDiv w:val="1"/>
      <w:marLeft w:val="0"/>
      <w:marRight w:val="0"/>
      <w:marTop w:val="0"/>
      <w:marBottom w:val="0"/>
      <w:divBdr>
        <w:top w:val="none" w:sz="0" w:space="0" w:color="auto"/>
        <w:left w:val="none" w:sz="0" w:space="0" w:color="auto"/>
        <w:bottom w:val="none" w:sz="0" w:space="0" w:color="auto"/>
        <w:right w:val="none" w:sz="0" w:space="0" w:color="auto"/>
      </w:divBdr>
    </w:div>
    <w:div w:id="992953591">
      <w:bodyDiv w:val="1"/>
      <w:marLeft w:val="0"/>
      <w:marRight w:val="0"/>
      <w:marTop w:val="0"/>
      <w:marBottom w:val="0"/>
      <w:divBdr>
        <w:top w:val="none" w:sz="0" w:space="0" w:color="auto"/>
        <w:left w:val="none" w:sz="0" w:space="0" w:color="auto"/>
        <w:bottom w:val="none" w:sz="0" w:space="0" w:color="auto"/>
        <w:right w:val="none" w:sz="0" w:space="0" w:color="auto"/>
      </w:divBdr>
    </w:div>
    <w:div w:id="998654943">
      <w:bodyDiv w:val="1"/>
      <w:marLeft w:val="0"/>
      <w:marRight w:val="0"/>
      <w:marTop w:val="0"/>
      <w:marBottom w:val="0"/>
      <w:divBdr>
        <w:top w:val="none" w:sz="0" w:space="0" w:color="auto"/>
        <w:left w:val="none" w:sz="0" w:space="0" w:color="auto"/>
        <w:bottom w:val="none" w:sz="0" w:space="0" w:color="auto"/>
        <w:right w:val="none" w:sz="0" w:space="0" w:color="auto"/>
      </w:divBdr>
    </w:div>
    <w:div w:id="1007950382">
      <w:bodyDiv w:val="1"/>
      <w:marLeft w:val="0"/>
      <w:marRight w:val="0"/>
      <w:marTop w:val="0"/>
      <w:marBottom w:val="0"/>
      <w:divBdr>
        <w:top w:val="none" w:sz="0" w:space="0" w:color="auto"/>
        <w:left w:val="none" w:sz="0" w:space="0" w:color="auto"/>
        <w:bottom w:val="none" w:sz="0" w:space="0" w:color="auto"/>
        <w:right w:val="none" w:sz="0" w:space="0" w:color="auto"/>
      </w:divBdr>
    </w:div>
    <w:div w:id="1088647973">
      <w:bodyDiv w:val="1"/>
      <w:marLeft w:val="0"/>
      <w:marRight w:val="0"/>
      <w:marTop w:val="0"/>
      <w:marBottom w:val="0"/>
      <w:divBdr>
        <w:top w:val="none" w:sz="0" w:space="0" w:color="auto"/>
        <w:left w:val="none" w:sz="0" w:space="0" w:color="auto"/>
        <w:bottom w:val="none" w:sz="0" w:space="0" w:color="auto"/>
        <w:right w:val="none" w:sz="0" w:space="0" w:color="auto"/>
      </w:divBdr>
    </w:div>
    <w:div w:id="1131705097">
      <w:bodyDiv w:val="1"/>
      <w:marLeft w:val="0"/>
      <w:marRight w:val="0"/>
      <w:marTop w:val="0"/>
      <w:marBottom w:val="0"/>
      <w:divBdr>
        <w:top w:val="none" w:sz="0" w:space="0" w:color="auto"/>
        <w:left w:val="none" w:sz="0" w:space="0" w:color="auto"/>
        <w:bottom w:val="none" w:sz="0" w:space="0" w:color="auto"/>
        <w:right w:val="none" w:sz="0" w:space="0" w:color="auto"/>
      </w:divBdr>
    </w:div>
    <w:div w:id="1140803228">
      <w:bodyDiv w:val="1"/>
      <w:marLeft w:val="0"/>
      <w:marRight w:val="0"/>
      <w:marTop w:val="0"/>
      <w:marBottom w:val="0"/>
      <w:divBdr>
        <w:top w:val="none" w:sz="0" w:space="0" w:color="auto"/>
        <w:left w:val="none" w:sz="0" w:space="0" w:color="auto"/>
        <w:bottom w:val="none" w:sz="0" w:space="0" w:color="auto"/>
        <w:right w:val="none" w:sz="0" w:space="0" w:color="auto"/>
      </w:divBdr>
    </w:div>
    <w:div w:id="1147286262">
      <w:bodyDiv w:val="1"/>
      <w:marLeft w:val="0"/>
      <w:marRight w:val="0"/>
      <w:marTop w:val="0"/>
      <w:marBottom w:val="0"/>
      <w:divBdr>
        <w:top w:val="none" w:sz="0" w:space="0" w:color="auto"/>
        <w:left w:val="none" w:sz="0" w:space="0" w:color="auto"/>
        <w:bottom w:val="none" w:sz="0" w:space="0" w:color="auto"/>
        <w:right w:val="none" w:sz="0" w:space="0" w:color="auto"/>
      </w:divBdr>
    </w:div>
    <w:div w:id="1216353348">
      <w:bodyDiv w:val="1"/>
      <w:marLeft w:val="0"/>
      <w:marRight w:val="0"/>
      <w:marTop w:val="0"/>
      <w:marBottom w:val="0"/>
      <w:divBdr>
        <w:top w:val="none" w:sz="0" w:space="0" w:color="auto"/>
        <w:left w:val="none" w:sz="0" w:space="0" w:color="auto"/>
        <w:bottom w:val="none" w:sz="0" w:space="0" w:color="auto"/>
        <w:right w:val="none" w:sz="0" w:space="0" w:color="auto"/>
      </w:divBdr>
    </w:div>
    <w:div w:id="1225339676">
      <w:bodyDiv w:val="1"/>
      <w:marLeft w:val="0"/>
      <w:marRight w:val="0"/>
      <w:marTop w:val="0"/>
      <w:marBottom w:val="0"/>
      <w:divBdr>
        <w:top w:val="none" w:sz="0" w:space="0" w:color="auto"/>
        <w:left w:val="none" w:sz="0" w:space="0" w:color="auto"/>
        <w:bottom w:val="none" w:sz="0" w:space="0" w:color="auto"/>
        <w:right w:val="none" w:sz="0" w:space="0" w:color="auto"/>
      </w:divBdr>
    </w:div>
    <w:div w:id="1235697090">
      <w:bodyDiv w:val="1"/>
      <w:marLeft w:val="0"/>
      <w:marRight w:val="0"/>
      <w:marTop w:val="0"/>
      <w:marBottom w:val="0"/>
      <w:divBdr>
        <w:top w:val="none" w:sz="0" w:space="0" w:color="auto"/>
        <w:left w:val="none" w:sz="0" w:space="0" w:color="auto"/>
        <w:bottom w:val="none" w:sz="0" w:space="0" w:color="auto"/>
        <w:right w:val="none" w:sz="0" w:space="0" w:color="auto"/>
      </w:divBdr>
    </w:div>
    <w:div w:id="1236672885">
      <w:bodyDiv w:val="1"/>
      <w:marLeft w:val="0"/>
      <w:marRight w:val="0"/>
      <w:marTop w:val="0"/>
      <w:marBottom w:val="0"/>
      <w:divBdr>
        <w:top w:val="none" w:sz="0" w:space="0" w:color="auto"/>
        <w:left w:val="none" w:sz="0" w:space="0" w:color="auto"/>
        <w:bottom w:val="none" w:sz="0" w:space="0" w:color="auto"/>
        <w:right w:val="none" w:sz="0" w:space="0" w:color="auto"/>
      </w:divBdr>
    </w:div>
    <w:div w:id="1263301337">
      <w:bodyDiv w:val="1"/>
      <w:marLeft w:val="0"/>
      <w:marRight w:val="0"/>
      <w:marTop w:val="0"/>
      <w:marBottom w:val="0"/>
      <w:divBdr>
        <w:top w:val="none" w:sz="0" w:space="0" w:color="auto"/>
        <w:left w:val="none" w:sz="0" w:space="0" w:color="auto"/>
        <w:bottom w:val="none" w:sz="0" w:space="0" w:color="auto"/>
        <w:right w:val="none" w:sz="0" w:space="0" w:color="auto"/>
      </w:divBdr>
    </w:div>
    <w:div w:id="1287660655">
      <w:bodyDiv w:val="1"/>
      <w:marLeft w:val="0"/>
      <w:marRight w:val="0"/>
      <w:marTop w:val="0"/>
      <w:marBottom w:val="0"/>
      <w:divBdr>
        <w:top w:val="none" w:sz="0" w:space="0" w:color="auto"/>
        <w:left w:val="none" w:sz="0" w:space="0" w:color="auto"/>
        <w:bottom w:val="none" w:sz="0" w:space="0" w:color="auto"/>
        <w:right w:val="none" w:sz="0" w:space="0" w:color="auto"/>
      </w:divBdr>
    </w:div>
    <w:div w:id="1303464193">
      <w:bodyDiv w:val="1"/>
      <w:marLeft w:val="0"/>
      <w:marRight w:val="0"/>
      <w:marTop w:val="0"/>
      <w:marBottom w:val="0"/>
      <w:divBdr>
        <w:top w:val="none" w:sz="0" w:space="0" w:color="auto"/>
        <w:left w:val="none" w:sz="0" w:space="0" w:color="auto"/>
        <w:bottom w:val="none" w:sz="0" w:space="0" w:color="auto"/>
        <w:right w:val="none" w:sz="0" w:space="0" w:color="auto"/>
      </w:divBdr>
    </w:div>
    <w:div w:id="1378579794">
      <w:bodyDiv w:val="1"/>
      <w:marLeft w:val="0"/>
      <w:marRight w:val="0"/>
      <w:marTop w:val="0"/>
      <w:marBottom w:val="0"/>
      <w:divBdr>
        <w:top w:val="none" w:sz="0" w:space="0" w:color="auto"/>
        <w:left w:val="none" w:sz="0" w:space="0" w:color="auto"/>
        <w:bottom w:val="none" w:sz="0" w:space="0" w:color="auto"/>
        <w:right w:val="none" w:sz="0" w:space="0" w:color="auto"/>
      </w:divBdr>
    </w:div>
    <w:div w:id="1385568190">
      <w:bodyDiv w:val="1"/>
      <w:marLeft w:val="0"/>
      <w:marRight w:val="0"/>
      <w:marTop w:val="0"/>
      <w:marBottom w:val="0"/>
      <w:divBdr>
        <w:top w:val="none" w:sz="0" w:space="0" w:color="auto"/>
        <w:left w:val="none" w:sz="0" w:space="0" w:color="auto"/>
        <w:bottom w:val="none" w:sz="0" w:space="0" w:color="auto"/>
        <w:right w:val="none" w:sz="0" w:space="0" w:color="auto"/>
      </w:divBdr>
    </w:div>
    <w:div w:id="1390808990">
      <w:bodyDiv w:val="1"/>
      <w:marLeft w:val="0"/>
      <w:marRight w:val="0"/>
      <w:marTop w:val="0"/>
      <w:marBottom w:val="0"/>
      <w:divBdr>
        <w:top w:val="none" w:sz="0" w:space="0" w:color="auto"/>
        <w:left w:val="none" w:sz="0" w:space="0" w:color="auto"/>
        <w:bottom w:val="none" w:sz="0" w:space="0" w:color="auto"/>
        <w:right w:val="none" w:sz="0" w:space="0" w:color="auto"/>
      </w:divBdr>
    </w:div>
    <w:div w:id="1461414472">
      <w:bodyDiv w:val="1"/>
      <w:marLeft w:val="0"/>
      <w:marRight w:val="0"/>
      <w:marTop w:val="0"/>
      <w:marBottom w:val="0"/>
      <w:divBdr>
        <w:top w:val="none" w:sz="0" w:space="0" w:color="auto"/>
        <w:left w:val="none" w:sz="0" w:space="0" w:color="auto"/>
        <w:bottom w:val="none" w:sz="0" w:space="0" w:color="auto"/>
        <w:right w:val="none" w:sz="0" w:space="0" w:color="auto"/>
      </w:divBdr>
    </w:div>
    <w:div w:id="1468469528">
      <w:bodyDiv w:val="1"/>
      <w:marLeft w:val="0"/>
      <w:marRight w:val="0"/>
      <w:marTop w:val="0"/>
      <w:marBottom w:val="0"/>
      <w:divBdr>
        <w:top w:val="none" w:sz="0" w:space="0" w:color="auto"/>
        <w:left w:val="none" w:sz="0" w:space="0" w:color="auto"/>
        <w:bottom w:val="none" w:sz="0" w:space="0" w:color="auto"/>
        <w:right w:val="none" w:sz="0" w:space="0" w:color="auto"/>
      </w:divBdr>
    </w:div>
    <w:div w:id="1545292123">
      <w:bodyDiv w:val="1"/>
      <w:marLeft w:val="0"/>
      <w:marRight w:val="0"/>
      <w:marTop w:val="0"/>
      <w:marBottom w:val="0"/>
      <w:divBdr>
        <w:top w:val="none" w:sz="0" w:space="0" w:color="auto"/>
        <w:left w:val="none" w:sz="0" w:space="0" w:color="auto"/>
        <w:bottom w:val="none" w:sz="0" w:space="0" w:color="auto"/>
        <w:right w:val="none" w:sz="0" w:space="0" w:color="auto"/>
      </w:divBdr>
    </w:div>
    <w:div w:id="1616912493">
      <w:bodyDiv w:val="1"/>
      <w:marLeft w:val="0"/>
      <w:marRight w:val="0"/>
      <w:marTop w:val="0"/>
      <w:marBottom w:val="0"/>
      <w:divBdr>
        <w:top w:val="none" w:sz="0" w:space="0" w:color="auto"/>
        <w:left w:val="none" w:sz="0" w:space="0" w:color="auto"/>
        <w:bottom w:val="none" w:sz="0" w:space="0" w:color="auto"/>
        <w:right w:val="none" w:sz="0" w:space="0" w:color="auto"/>
      </w:divBdr>
    </w:div>
    <w:div w:id="1623999035">
      <w:bodyDiv w:val="1"/>
      <w:marLeft w:val="0"/>
      <w:marRight w:val="0"/>
      <w:marTop w:val="0"/>
      <w:marBottom w:val="0"/>
      <w:divBdr>
        <w:top w:val="none" w:sz="0" w:space="0" w:color="auto"/>
        <w:left w:val="none" w:sz="0" w:space="0" w:color="auto"/>
        <w:bottom w:val="none" w:sz="0" w:space="0" w:color="auto"/>
        <w:right w:val="none" w:sz="0" w:space="0" w:color="auto"/>
      </w:divBdr>
    </w:div>
    <w:div w:id="1624506588">
      <w:bodyDiv w:val="1"/>
      <w:marLeft w:val="0"/>
      <w:marRight w:val="0"/>
      <w:marTop w:val="0"/>
      <w:marBottom w:val="0"/>
      <w:divBdr>
        <w:top w:val="none" w:sz="0" w:space="0" w:color="auto"/>
        <w:left w:val="none" w:sz="0" w:space="0" w:color="auto"/>
        <w:bottom w:val="none" w:sz="0" w:space="0" w:color="auto"/>
        <w:right w:val="none" w:sz="0" w:space="0" w:color="auto"/>
      </w:divBdr>
    </w:div>
    <w:div w:id="1666516923">
      <w:bodyDiv w:val="1"/>
      <w:marLeft w:val="0"/>
      <w:marRight w:val="0"/>
      <w:marTop w:val="0"/>
      <w:marBottom w:val="0"/>
      <w:divBdr>
        <w:top w:val="none" w:sz="0" w:space="0" w:color="auto"/>
        <w:left w:val="none" w:sz="0" w:space="0" w:color="auto"/>
        <w:bottom w:val="none" w:sz="0" w:space="0" w:color="auto"/>
        <w:right w:val="none" w:sz="0" w:space="0" w:color="auto"/>
      </w:divBdr>
    </w:div>
    <w:div w:id="1731031266">
      <w:bodyDiv w:val="1"/>
      <w:marLeft w:val="0"/>
      <w:marRight w:val="0"/>
      <w:marTop w:val="0"/>
      <w:marBottom w:val="0"/>
      <w:divBdr>
        <w:top w:val="none" w:sz="0" w:space="0" w:color="auto"/>
        <w:left w:val="none" w:sz="0" w:space="0" w:color="auto"/>
        <w:bottom w:val="none" w:sz="0" w:space="0" w:color="auto"/>
        <w:right w:val="none" w:sz="0" w:space="0" w:color="auto"/>
      </w:divBdr>
    </w:div>
    <w:div w:id="1801262135">
      <w:bodyDiv w:val="1"/>
      <w:marLeft w:val="0"/>
      <w:marRight w:val="0"/>
      <w:marTop w:val="0"/>
      <w:marBottom w:val="0"/>
      <w:divBdr>
        <w:top w:val="none" w:sz="0" w:space="0" w:color="auto"/>
        <w:left w:val="none" w:sz="0" w:space="0" w:color="auto"/>
        <w:bottom w:val="none" w:sz="0" w:space="0" w:color="auto"/>
        <w:right w:val="none" w:sz="0" w:space="0" w:color="auto"/>
      </w:divBdr>
    </w:div>
    <w:div w:id="1878738153">
      <w:bodyDiv w:val="1"/>
      <w:marLeft w:val="0"/>
      <w:marRight w:val="0"/>
      <w:marTop w:val="0"/>
      <w:marBottom w:val="0"/>
      <w:divBdr>
        <w:top w:val="none" w:sz="0" w:space="0" w:color="auto"/>
        <w:left w:val="none" w:sz="0" w:space="0" w:color="auto"/>
        <w:bottom w:val="none" w:sz="0" w:space="0" w:color="auto"/>
        <w:right w:val="none" w:sz="0" w:space="0" w:color="auto"/>
      </w:divBdr>
    </w:div>
    <w:div w:id="1879395455">
      <w:bodyDiv w:val="1"/>
      <w:marLeft w:val="0"/>
      <w:marRight w:val="0"/>
      <w:marTop w:val="0"/>
      <w:marBottom w:val="0"/>
      <w:divBdr>
        <w:top w:val="none" w:sz="0" w:space="0" w:color="auto"/>
        <w:left w:val="none" w:sz="0" w:space="0" w:color="auto"/>
        <w:bottom w:val="none" w:sz="0" w:space="0" w:color="auto"/>
        <w:right w:val="none" w:sz="0" w:space="0" w:color="auto"/>
      </w:divBdr>
    </w:div>
    <w:div w:id="1893690114">
      <w:bodyDiv w:val="1"/>
      <w:marLeft w:val="0"/>
      <w:marRight w:val="0"/>
      <w:marTop w:val="0"/>
      <w:marBottom w:val="0"/>
      <w:divBdr>
        <w:top w:val="none" w:sz="0" w:space="0" w:color="auto"/>
        <w:left w:val="none" w:sz="0" w:space="0" w:color="auto"/>
        <w:bottom w:val="none" w:sz="0" w:space="0" w:color="auto"/>
        <w:right w:val="none" w:sz="0" w:space="0" w:color="auto"/>
      </w:divBdr>
    </w:div>
    <w:div w:id="1894267594">
      <w:bodyDiv w:val="1"/>
      <w:marLeft w:val="0"/>
      <w:marRight w:val="0"/>
      <w:marTop w:val="0"/>
      <w:marBottom w:val="0"/>
      <w:divBdr>
        <w:top w:val="none" w:sz="0" w:space="0" w:color="auto"/>
        <w:left w:val="none" w:sz="0" w:space="0" w:color="auto"/>
        <w:bottom w:val="none" w:sz="0" w:space="0" w:color="auto"/>
        <w:right w:val="none" w:sz="0" w:space="0" w:color="auto"/>
      </w:divBdr>
    </w:div>
    <w:div w:id="1902015378">
      <w:bodyDiv w:val="1"/>
      <w:marLeft w:val="0"/>
      <w:marRight w:val="0"/>
      <w:marTop w:val="0"/>
      <w:marBottom w:val="0"/>
      <w:divBdr>
        <w:top w:val="none" w:sz="0" w:space="0" w:color="auto"/>
        <w:left w:val="none" w:sz="0" w:space="0" w:color="auto"/>
        <w:bottom w:val="none" w:sz="0" w:space="0" w:color="auto"/>
        <w:right w:val="none" w:sz="0" w:space="0" w:color="auto"/>
      </w:divBdr>
    </w:div>
    <w:div w:id="1927419360">
      <w:bodyDiv w:val="1"/>
      <w:marLeft w:val="0"/>
      <w:marRight w:val="0"/>
      <w:marTop w:val="0"/>
      <w:marBottom w:val="0"/>
      <w:divBdr>
        <w:top w:val="none" w:sz="0" w:space="0" w:color="auto"/>
        <w:left w:val="none" w:sz="0" w:space="0" w:color="auto"/>
        <w:bottom w:val="none" w:sz="0" w:space="0" w:color="auto"/>
        <w:right w:val="none" w:sz="0" w:space="0" w:color="auto"/>
      </w:divBdr>
    </w:div>
    <w:div w:id="1963995129">
      <w:bodyDiv w:val="1"/>
      <w:marLeft w:val="0"/>
      <w:marRight w:val="0"/>
      <w:marTop w:val="0"/>
      <w:marBottom w:val="0"/>
      <w:divBdr>
        <w:top w:val="none" w:sz="0" w:space="0" w:color="auto"/>
        <w:left w:val="none" w:sz="0" w:space="0" w:color="auto"/>
        <w:bottom w:val="none" w:sz="0" w:space="0" w:color="auto"/>
        <w:right w:val="none" w:sz="0" w:space="0" w:color="auto"/>
      </w:divBdr>
    </w:div>
    <w:div w:id="1964730559">
      <w:bodyDiv w:val="1"/>
      <w:marLeft w:val="0"/>
      <w:marRight w:val="0"/>
      <w:marTop w:val="0"/>
      <w:marBottom w:val="0"/>
      <w:divBdr>
        <w:top w:val="none" w:sz="0" w:space="0" w:color="auto"/>
        <w:left w:val="none" w:sz="0" w:space="0" w:color="auto"/>
        <w:bottom w:val="none" w:sz="0" w:space="0" w:color="auto"/>
        <w:right w:val="none" w:sz="0" w:space="0" w:color="auto"/>
      </w:divBdr>
    </w:div>
    <w:div w:id="1974675416">
      <w:bodyDiv w:val="1"/>
      <w:marLeft w:val="0"/>
      <w:marRight w:val="0"/>
      <w:marTop w:val="0"/>
      <w:marBottom w:val="0"/>
      <w:divBdr>
        <w:top w:val="none" w:sz="0" w:space="0" w:color="auto"/>
        <w:left w:val="none" w:sz="0" w:space="0" w:color="auto"/>
        <w:bottom w:val="none" w:sz="0" w:space="0" w:color="auto"/>
        <w:right w:val="none" w:sz="0" w:space="0" w:color="auto"/>
      </w:divBdr>
    </w:div>
    <w:div w:id="2005544215">
      <w:bodyDiv w:val="1"/>
      <w:marLeft w:val="0"/>
      <w:marRight w:val="0"/>
      <w:marTop w:val="0"/>
      <w:marBottom w:val="0"/>
      <w:divBdr>
        <w:top w:val="none" w:sz="0" w:space="0" w:color="auto"/>
        <w:left w:val="none" w:sz="0" w:space="0" w:color="auto"/>
        <w:bottom w:val="none" w:sz="0" w:space="0" w:color="auto"/>
        <w:right w:val="none" w:sz="0" w:space="0" w:color="auto"/>
      </w:divBdr>
    </w:div>
    <w:div w:id="2011178937">
      <w:bodyDiv w:val="1"/>
      <w:marLeft w:val="0"/>
      <w:marRight w:val="0"/>
      <w:marTop w:val="0"/>
      <w:marBottom w:val="0"/>
      <w:divBdr>
        <w:top w:val="none" w:sz="0" w:space="0" w:color="auto"/>
        <w:left w:val="none" w:sz="0" w:space="0" w:color="auto"/>
        <w:bottom w:val="none" w:sz="0" w:space="0" w:color="auto"/>
        <w:right w:val="none" w:sz="0" w:space="0" w:color="auto"/>
      </w:divBdr>
    </w:div>
    <w:div w:id="2038581022">
      <w:bodyDiv w:val="1"/>
      <w:marLeft w:val="0"/>
      <w:marRight w:val="0"/>
      <w:marTop w:val="0"/>
      <w:marBottom w:val="0"/>
      <w:divBdr>
        <w:top w:val="none" w:sz="0" w:space="0" w:color="auto"/>
        <w:left w:val="none" w:sz="0" w:space="0" w:color="auto"/>
        <w:bottom w:val="none" w:sz="0" w:space="0" w:color="auto"/>
        <w:right w:val="none" w:sz="0" w:space="0" w:color="auto"/>
      </w:divBdr>
    </w:div>
    <w:div w:id="2040620340">
      <w:bodyDiv w:val="1"/>
      <w:marLeft w:val="0"/>
      <w:marRight w:val="0"/>
      <w:marTop w:val="0"/>
      <w:marBottom w:val="0"/>
      <w:divBdr>
        <w:top w:val="none" w:sz="0" w:space="0" w:color="auto"/>
        <w:left w:val="none" w:sz="0" w:space="0" w:color="auto"/>
        <w:bottom w:val="none" w:sz="0" w:space="0" w:color="auto"/>
        <w:right w:val="none" w:sz="0" w:space="0" w:color="auto"/>
      </w:divBdr>
    </w:div>
    <w:div w:id="2053725647">
      <w:bodyDiv w:val="1"/>
      <w:marLeft w:val="0"/>
      <w:marRight w:val="0"/>
      <w:marTop w:val="0"/>
      <w:marBottom w:val="0"/>
      <w:divBdr>
        <w:top w:val="none" w:sz="0" w:space="0" w:color="auto"/>
        <w:left w:val="none" w:sz="0" w:space="0" w:color="auto"/>
        <w:bottom w:val="none" w:sz="0" w:space="0" w:color="auto"/>
        <w:right w:val="none" w:sz="0" w:space="0" w:color="auto"/>
      </w:divBdr>
    </w:div>
    <w:div w:id="2066030685">
      <w:bodyDiv w:val="1"/>
      <w:marLeft w:val="0"/>
      <w:marRight w:val="0"/>
      <w:marTop w:val="0"/>
      <w:marBottom w:val="0"/>
      <w:divBdr>
        <w:top w:val="none" w:sz="0" w:space="0" w:color="auto"/>
        <w:left w:val="none" w:sz="0" w:space="0" w:color="auto"/>
        <w:bottom w:val="none" w:sz="0" w:space="0" w:color="auto"/>
        <w:right w:val="none" w:sz="0" w:space="0" w:color="auto"/>
      </w:divBdr>
    </w:div>
    <w:div w:id="2087416831">
      <w:bodyDiv w:val="1"/>
      <w:marLeft w:val="0"/>
      <w:marRight w:val="0"/>
      <w:marTop w:val="0"/>
      <w:marBottom w:val="0"/>
      <w:divBdr>
        <w:top w:val="none" w:sz="0" w:space="0" w:color="auto"/>
        <w:left w:val="none" w:sz="0" w:space="0" w:color="auto"/>
        <w:bottom w:val="none" w:sz="0" w:space="0" w:color="auto"/>
        <w:right w:val="none" w:sz="0" w:space="0" w:color="auto"/>
      </w:divBdr>
    </w:div>
    <w:div w:id="2088190952">
      <w:bodyDiv w:val="1"/>
      <w:marLeft w:val="0"/>
      <w:marRight w:val="0"/>
      <w:marTop w:val="0"/>
      <w:marBottom w:val="0"/>
      <w:divBdr>
        <w:top w:val="none" w:sz="0" w:space="0" w:color="auto"/>
        <w:left w:val="none" w:sz="0" w:space="0" w:color="auto"/>
        <w:bottom w:val="none" w:sz="0" w:space="0" w:color="auto"/>
        <w:right w:val="none" w:sz="0" w:space="0" w:color="auto"/>
      </w:divBdr>
    </w:div>
    <w:div w:id="2097356087">
      <w:bodyDiv w:val="1"/>
      <w:marLeft w:val="0"/>
      <w:marRight w:val="0"/>
      <w:marTop w:val="0"/>
      <w:marBottom w:val="0"/>
      <w:divBdr>
        <w:top w:val="none" w:sz="0" w:space="0" w:color="auto"/>
        <w:left w:val="none" w:sz="0" w:space="0" w:color="auto"/>
        <w:bottom w:val="none" w:sz="0" w:space="0" w:color="auto"/>
        <w:right w:val="none" w:sz="0" w:space="0" w:color="auto"/>
      </w:divBdr>
    </w:div>
    <w:div w:id="2097821704">
      <w:bodyDiv w:val="1"/>
      <w:marLeft w:val="0"/>
      <w:marRight w:val="0"/>
      <w:marTop w:val="0"/>
      <w:marBottom w:val="0"/>
      <w:divBdr>
        <w:top w:val="none" w:sz="0" w:space="0" w:color="auto"/>
        <w:left w:val="none" w:sz="0" w:space="0" w:color="auto"/>
        <w:bottom w:val="none" w:sz="0" w:space="0" w:color="auto"/>
        <w:right w:val="none" w:sz="0" w:space="0" w:color="auto"/>
      </w:divBdr>
    </w:div>
    <w:div w:id="214145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ntenzeappalti.it/2025/01/01/decreto-correttivo-codice-appalti-cosa-cambia-tabella-riassuntiva-con-indice-interattivo/" TargetMode="External"/><Relationship Id="rId5" Type="http://schemas.openxmlformats.org/officeDocument/2006/relationships/hyperlink" Target="https://www.codicecontrattipubblici.com/nuovo-codice-contratti-pubblici-2023/art-11-principio-di-applicazione-dei-contratti-collettivi-nazionali-di-settore-inadempienze-contributive-e-ritardo-nei-pagament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3895</TotalTime>
  <Pages>44</Pages>
  <Words>24131</Words>
  <Characters>137551</Characters>
  <Application>Microsoft Office Word</Application>
  <DocSecurity>0</DocSecurity>
  <Lines>1146</Lines>
  <Paragraphs>322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Giordano</dc:creator>
  <cp:keywords/>
  <dc:description/>
  <cp:lastModifiedBy>Rosa Giordano</cp:lastModifiedBy>
  <cp:revision>31</cp:revision>
  <cp:lastPrinted>2025-02-20T12:07:00Z</cp:lastPrinted>
  <dcterms:created xsi:type="dcterms:W3CDTF">2025-02-09T09:03:00Z</dcterms:created>
  <dcterms:modified xsi:type="dcterms:W3CDTF">2025-03-30T19:46:00Z</dcterms:modified>
</cp:coreProperties>
</file>